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928"/>
        <w:gridCol w:w="4961"/>
        <w:gridCol w:w="4961"/>
      </w:tblGrid>
      <w:tr w:rsidR="00980F2E" w14:paraId="3E02640E" w14:textId="77777777" w:rsidTr="00E04D78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3B20D" w14:textId="19686AA2" w:rsidR="00980F2E" w:rsidRPr="00FD69A9" w:rsidRDefault="007108AD" w:rsidP="007455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AG&amp;T Subject</w:t>
            </w:r>
            <w:r w:rsidR="007F327E">
              <w:rPr>
                <w:b/>
              </w:rPr>
              <w:t xml:space="preserve"> Provision Statement </w:t>
            </w:r>
            <w:r w:rsidR="00BA68B0">
              <w:rPr>
                <w:b/>
              </w:rPr>
              <w:t>2021-2022</w:t>
            </w:r>
            <w:r w:rsidR="00790C2D">
              <w:rPr>
                <w:b/>
              </w:rPr>
              <w:t xml:space="preserve"> </w:t>
            </w:r>
          </w:p>
        </w:tc>
      </w:tr>
      <w:tr w:rsidR="00980F2E" w14:paraId="3C77BE35" w14:textId="77777777" w:rsidTr="00E04D78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543ED" w14:textId="77777777"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  <w:p w14:paraId="36CBC8F2" w14:textId="2982C43D" w:rsidR="00980F2E" w:rsidRDefault="002A5921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Design Technology/ Product Design</w:t>
            </w:r>
            <w:r w:rsidR="00BA68B0">
              <w:rPr>
                <w:b/>
              </w:rPr>
              <w:t>/3D Design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8AA7B" w14:textId="77777777"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  <w:r w:rsidR="002A5921">
              <w:rPr>
                <w:b/>
              </w:rPr>
              <w:t xml:space="preserve"> Expressive Arts 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0FDDB" w14:textId="77777777"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  <w:r w:rsidR="002A5921">
              <w:rPr>
                <w:b/>
              </w:rPr>
              <w:t xml:space="preserve"> Miss Lipparelli </w:t>
            </w:r>
          </w:p>
        </w:tc>
      </w:tr>
      <w:tr w:rsidR="00980F2E" w14:paraId="56DEDDFD" w14:textId="77777777" w:rsidTr="00E04D78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8C8D6A3" w14:textId="77777777" w:rsidR="00980F2E" w:rsidRDefault="00FD69A9" w:rsidP="00E04D78">
            <w:pPr>
              <w:spacing w:after="0" w:line="240" w:lineRule="auto"/>
              <w:rPr>
                <w:b/>
                <w:u w:val="single"/>
              </w:rPr>
            </w:pPr>
            <w:r w:rsidRPr="00790C2D">
              <w:rPr>
                <w:b/>
              </w:rPr>
              <w:t>Students who are gifted and talented in this subject can be identified if they demonstrate many of the following</w:t>
            </w:r>
            <w:r w:rsidRPr="008C48FC">
              <w:rPr>
                <w:b/>
                <w:u w:val="single"/>
              </w:rPr>
              <w:t>:</w:t>
            </w:r>
          </w:p>
          <w:p w14:paraId="2BDF0DD2" w14:textId="77777777" w:rsidR="007035DA" w:rsidRPr="007035DA" w:rsidRDefault="007035DA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18"/>
                <w:szCs w:val="20"/>
              </w:rPr>
            </w:pPr>
            <w:r w:rsidRPr="007035DA">
              <w:rPr>
                <w:sz w:val="20"/>
              </w:rPr>
              <w:t>Demonstrate high levels of technological understanding and application</w:t>
            </w:r>
          </w:p>
          <w:p w14:paraId="27220CA1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Communicate i</w:t>
            </w:r>
            <w:r w:rsidR="007035DA">
              <w:rPr>
                <w:sz w:val="20"/>
                <w:szCs w:val="20"/>
              </w:rPr>
              <w:t xml:space="preserve">deas and feelings imaginatively </w:t>
            </w:r>
            <w:r w:rsidRPr="00C403E4">
              <w:rPr>
                <w:sz w:val="20"/>
                <w:szCs w:val="20"/>
              </w:rPr>
              <w:t xml:space="preserve">and effectively in visual form.  </w:t>
            </w:r>
          </w:p>
          <w:p w14:paraId="604B4012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May challenge tasks given or extend the brief in seemingly unrelated </w:t>
            </w:r>
            <w:r w:rsidR="003F17A4">
              <w:rPr>
                <w:sz w:val="20"/>
                <w:szCs w:val="20"/>
              </w:rPr>
              <w:t>direction</w:t>
            </w:r>
            <w:r w:rsidRPr="00C403E4">
              <w:rPr>
                <w:sz w:val="20"/>
                <w:szCs w:val="20"/>
              </w:rPr>
              <w:t>.</w:t>
            </w:r>
          </w:p>
          <w:p w14:paraId="41E5EC99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Select relevant resources and materials appropriate to the task.</w:t>
            </w:r>
          </w:p>
          <w:p w14:paraId="2CB27F4D" w14:textId="77777777" w:rsidR="003F17A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Develop their own investigations and analyse methods and outcomes independently persevering until they have completed a task successfully.</w:t>
            </w:r>
          </w:p>
          <w:p w14:paraId="56CA7F05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They may want to follow a different plan to the other pupils.  </w:t>
            </w:r>
          </w:p>
          <w:p w14:paraId="3177B8AF" w14:textId="77777777" w:rsidR="002A5921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Able to produce work</w:t>
            </w:r>
            <w:r w:rsidR="003F17A4">
              <w:rPr>
                <w:sz w:val="20"/>
                <w:szCs w:val="20"/>
              </w:rPr>
              <w:t xml:space="preserve"> that is technically excellent or </w:t>
            </w:r>
            <w:proofErr w:type="gramStart"/>
            <w:r w:rsidR="003F17A4">
              <w:rPr>
                <w:sz w:val="20"/>
                <w:szCs w:val="20"/>
              </w:rPr>
              <w:t>innovative;</w:t>
            </w:r>
            <w:proofErr w:type="gramEnd"/>
            <w:r w:rsidR="003F17A4"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 xml:space="preserve">exploiting the characteristics of selected materials and visual elements. </w:t>
            </w:r>
          </w:p>
          <w:p w14:paraId="58F4F18E" w14:textId="77777777" w:rsidR="003C764F" w:rsidRDefault="003C764F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will produce design ideas which </w:t>
            </w:r>
            <w:r w:rsidR="007035DA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creative, complex and innovative and exceed expectations </w:t>
            </w:r>
          </w:p>
          <w:p w14:paraId="47E3C893" w14:textId="77777777" w:rsidR="003F17A4" w:rsidRDefault="003F17A4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may show advanced Computer Aided Design (CAD) skills and use these at a highly developed level </w:t>
            </w:r>
          </w:p>
          <w:p w14:paraId="08929023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 They learn new approaches easily and may take risks without knowing what the outcome will be.</w:t>
            </w:r>
          </w:p>
          <w:p w14:paraId="79B0554B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Refine their work and realise their intentions to take account of purpose and meaning</w:t>
            </w:r>
            <w:r w:rsidR="007035DA">
              <w:rPr>
                <w:sz w:val="20"/>
                <w:szCs w:val="20"/>
              </w:rPr>
              <w:t xml:space="preserve"> or wider social and moral contexts</w:t>
            </w:r>
            <w:r w:rsidRPr="00C403E4">
              <w:rPr>
                <w:sz w:val="20"/>
                <w:szCs w:val="20"/>
              </w:rPr>
              <w:t>.</w:t>
            </w:r>
          </w:p>
          <w:p w14:paraId="7CC5227E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They show a genuine interest in the </w:t>
            </w:r>
            <w:r w:rsidR="003F17A4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</w:t>
            </w:r>
            <w:r w:rsidR="003F17A4"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>and make informed judgements about their own work and the work of others.</w:t>
            </w:r>
          </w:p>
          <w:p w14:paraId="31C92C8B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Able to plan and subsequently develop their work further </w:t>
            </w:r>
            <w:proofErr w:type="gramStart"/>
            <w:r w:rsidRPr="00C403E4">
              <w:rPr>
                <w:sz w:val="20"/>
                <w:szCs w:val="20"/>
              </w:rPr>
              <w:t>in light of</w:t>
            </w:r>
            <w:proofErr w:type="gramEnd"/>
            <w:r w:rsidRPr="00C403E4">
              <w:rPr>
                <w:sz w:val="20"/>
                <w:szCs w:val="20"/>
              </w:rPr>
              <w:t xml:space="preserve"> others evaluation.</w:t>
            </w:r>
          </w:p>
          <w:p w14:paraId="0DBE9236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Use an accurate and extensive design vocabulary.</w:t>
            </w:r>
          </w:p>
          <w:p w14:paraId="62FBE08E" w14:textId="77777777" w:rsidR="002A5921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Able to evaluate images and artefact</w:t>
            </w:r>
            <w:r w:rsidR="003F17A4">
              <w:rPr>
                <w:sz w:val="20"/>
                <w:szCs w:val="20"/>
              </w:rPr>
              <w:t xml:space="preserve">s and identify different Design </w:t>
            </w:r>
            <w:proofErr w:type="gramStart"/>
            <w:r w:rsidR="003F17A4">
              <w:rPr>
                <w:sz w:val="20"/>
                <w:szCs w:val="20"/>
              </w:rPr>
              <w:t>movements;</w:t>
            </w:r>
            <w:proofErr w:type="gramEnd"/>
            <w:r w:rsidR="003F17A4">
              <w:rPr>
                <w:sz w:val="20"/>
                <w:szCs w:val="20"/>
              </w:rPr>
              <w:t xml:space="preserve"> styles </w:t>
            </w:r>
            <w:r w:rsidRPr="00C403E4">
              <w:rPr>
                <w:sz w:val="20"/>
                <w:szCs w:val="20"/>
              </w:rPr>
              <w:t>and traditions from a variety of historical and cultural contexts.</w:t>
            </w:r>
          </w:p>
          <w:p w14:paraId="73E2979A" w14:textId="77777777" w:rsidR="00980F2E" w:rsidRDefault="002A5921" w:rsidP="004A1B0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b/>
              </w:rPr>
            </w:pPr>
            <w:r w:rsidRPr="004A1B06">
              <w:rPr>
                <w:sz w:val="20"/>
                <w:szCs w:val="20"/>
              </w:rPr>
              <w:t>Able to critically appraise their own work and use their knowledge and understanding in justifying ideas and opinions.</w:t>
            </w:r>
          </w:p>
        </w:tc>
      </w:tr>
      <w:tr w:rsidR="00980F2E" w14:paraId="2B726F0D" w14:textId="77777777" w:rsidTr="00E04D78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14:paraId="3EF7143E" w14:textId="77777777"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Teaching and learning strategies:</w:t>
            </w:r>
          </w:p>
          <w:p w14:paraId="27D0667E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arrangements</w:t>
            </w:r>
          </w:p>
          <w:p w14:paraId="00F8ACB2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Schemes of work</w:t>
            </w:r>
          </w:p>
          <w:p w14:paraId="5F05CFA0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Differentiation</w:t>
            </w:r>
          </w:p>
          <w:p w14:paraId="7CFB1858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rPr>
                <w:sz w:val="20"/>
                <w:szCs w:val="20"/>
              </w:rPr>
              <w:t>Teaching approaches / activities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47E1F0DD" w14:textId="77777777"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AG&amp;T Resources audit:</w:t>
            </w:r>
          </w:p>
          <w:p w14:paraId="41E222BB" w14:textId="77777777" w:rsidR="00980F2E" w:rsidRPr="00FD69A9" w:rsidRDefault="00980F2E" w:rsidP="00FD69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Textbooks</w:t>
            </w:r>
          </w:p>
          <w:p w14:paraId="1B5B2E9C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Websites</w:t>
            </w:r>
          </w:p>
          <w:p w14:paraId="1417E5E0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rPr>
                <w:sz w:val="20"/>
                <w:szCs w:val="20"/>
              </w:rPr>
              <w:t>Other materials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14:paraId="73DA75A0" w14:textId="77777777"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extra-curricular activities:</w:t>
            </w:r>
          </w:p>
          <w:p w14:paraId="1EDF5E42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After-school / lunchtime </w:t>
            </w:r>
            <w:r w:rsidRPr="00790C2D">
              <w:rPr>
                <w:sz w:val="20"/>
                <w:szCs w:val="20"/>
              </w:rPr>
              <w:t>clubs</w:t>
            </w:r>
            <w:r w:rsidR="00DF4FF0" w:rsidRPr="00790C2D">
              <w:rPr>
                <w:sz w:val="20"/>
                <w:szCs w:val="20"/>
              </w:rPr>
              <w:t xml:space="preserve"> taking place this year with target group, day, time and staff member</w:t>
            </w:r>
          </w:p>
          <w:p w14:paraId="7A2FC970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Competitions</w:t>
            </w:r>
          </w:p>
          <w:p w14:paraId="164FC820" w14:textId="77777777" w:rsidR="00980F2E" w:rsidRPr="00790C2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visit</w:t>
            </w:r>
            <w:r w:rsidR="00790C2D">
              <w:rPr>
                <w:sz w:val="20"/>
                <w:szCs w:val="20"/>
              </w:rPr>
              <w:t xml:space="preserve">s taking place this year </w:t>
            </w:r>
            <w:r w:rsidR="00DF4FF0" w:rsidRPr="00790C2D">
              <w:rPr>
                <w:sz w:val="20"/>
                <w:szCs w:val="20"/>
              </w:rPr>
              <w:t xml:space="preserve">with target group, day and staff member </w:t>
            </w:r>
          </w:p>
          <w:p w14:paraId="0DBD1F9C" w14:textId="77777777"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Masterclasses</w:t>
            </w:r>
          </w:p>
        </w:tc>
      </w:tr>
      <w:tr w:rsidR="00980F2E" w14:paraId="57DE686B" w14:textId="77777777" w:rsidTr="00E04D78">
        <w:trPr>
          <w:trHeight w:val="4667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14:paraId="601B1538" w14:textId="77777777" w:rsidR="002A5921" w:rsidRPr="00C403E4" w:rsidRDefault="002A5921" w:rsidP="002A5921">
            <w:pPr>
              <w:rPr>
                <w:sz w:val="20"/>
                <w:szCs w:val="20"/>
              </w:rPr>
            </w:pPr>
            <w:r w:rsidRPr="00C403E4">
              <w:rPr>
                <w:b/>
                <w:sz w:val="20"/>
                <w:szCs w:val="20"/>
              </w:rPr>
              <w:lastRenderedPageBreak/>
              <w:t>Schemes of Work</w:t>
            </w:r>
            <w:r w:rsidRPr="00C403E4">
              <w:rPr>
                <w:sz w:val="20"/>
                <w:szCs w:val="20"/>
              </w:rPr>
              <w:t>; Extension for all activities and ISBL to cater for advanced abilities both practical and theoretical</w:t>
            </w:r>
            <w:r>
              <w:rPr>
                <w:sz w:val="20"/>
                <w:szCs w:val="20"/>
              </w:rPr>
              <w:t xml:space="preserve"> outcomes</w:t>
            </w:r>
            <w:r w:rsidRPr="00C403E4">
              <w:rPr>
                <w:sz w:val="20"/>
                <w:szCs w:val="20"/>
              </w:rPr>
              <w:t xml:space="preserve">. </w:t>
            </w:r>
          </w:p>
          <w:p w14:paraId="0A09FAD6" w14:textId="77777777" w:rsidR="002A5921" w:rsidRPr="00C403E4" w:rsidRDefault="002A5921" w:rsidP="002A5921">
            <w:pPr>
              <w:rPr>
                <w:sz w:val="20"/>
                <w:szCs w:val="20"/>
              </w:rPr>
            </w:pPr>
            <w:r w:rsidRPr="00C403E4">
              <w:rPr>
                <w:b/>
                <w:sz w:val="20"/>
                <w:szCs w:val="20"/>
              </w:rPr>
              <w:t>Resources</w:t>
            </w:r>
            <w:r w:rsidRPr="00C403E4">
              <w:rPr>
                <w:sz w:val="20"/>
                <w:szCs w:val="20"/>
              </w:rPr>
              <w:t>; Writing frames for annotation.</w:t>
            </w:r>
            <w:r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>Wider range of materials available to encourage more sophisticated use.</w:t>
            </w:r>
          </w:p>
          <w:p w14:paraId="3BE89006" w14:textId="77777777" w:rsidR="00980F2E" w:rsidRDefault="002A5921" w:rsidP="00733649">
            <w:pPr>
              <w:rPr>
                <w:sz w:val="20"/>
                <w:szCs w:val="20"/>
              </w:rPr>
            </w:pPr>
            <w:r w:rsidRPr="00C403E4">
              <w:rPr>
                <w:b/>
                <w:sz w:val="20"/>
                <w:szCs w:val="20"/>
              </w:rPr>
              <w:t xml:space="preserve">Teaching </w:t>
            </w:r>
            <w:proofErr w:type="gramStart"/>
            <w:r w:rsidRPr="00C403E4">
              <w:rPr>
                <w:b/>
                <w:sz w:val="20"/>
                <w:szCs w:val="20"/>
              </w:rPr>
              <w:t>approaches</w:t>
            </w:r>
            <w:r w:rsidRPr="00C403E4">
              <w:rPr>
                <w:sz w:val="20"/>
                <w:szCs w:val="20"/>
              </w:rPr>
              <w:t>;</w:t>
            </w:r>
            <w:proofErr w:type="gramEnd"/>
            <w:r w:rsidRPr="00C403E4">
              <w:rPr>
                <w:sz w:val="20"/>
                <w:szCs w:val="20"/>
              </w:rPr>
              <w:t xml:space="preserve"> Build on core skills to extend visual literacy. Link key stage levels and assessment activities to success criteria during activities.</w:t>
            </w:r>
            <w:r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>Targeted questioning to support and extend higher order thinking skills or analysis.</w:t>
            </w:r>
            <w:r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 xml:space="preserve">Broader use of </w:t>
            </w:r>
            <w:r>
              <w:rPr>
                <w:sz w:val="20"/>
                <w:szCs w:val="20"/>
              </w:rPr>
              <w:t>design</w:t>
            </w:r>
            <w:r w:rsidRPr="00C403E4">
              <w:rPr>
                <w:sz w:val="20"/>
                <w:szCs w:val="20"/>
              </w:rPr>
              <w:t xml:space="preserve"> key terms to challenge comprehension during peer and self-assessment tasks. Utilizing the specialist skills of subject teachers to support extended learning in a variety of design disciplines.</w:t>
            </w:r>
            <w:r>
              <w:rPr>
                <w:sz w:val="20"/>
                <w:szCs w:val="20"/>
              </w:rPr>
              <w:t xml:space="preserve"> Opportunities to work in small groups with technicians to extend practical skills and outcomes. 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63EA1D6E" w14:textId="77777777" w:rsidR="002A5921" w:rsidRPr="002A5921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2A5921">
              <w:rPr>
                <w:sz w:val="20"/>
                <w:szCs w:val="20"/>
              </w:rPr>
              <w:t xml:space="preserve">Design reference books within the </w:t>
            </w:r>
            <w:r w:rsidR="008F78B6">
              <w:rPr>
                <w:sz w:val="20"/>
                <w:szCs w:val="20"/>
              </w:rPr>
              <w:t>D</w:t>
            </w:r>
            <w:r w:rsidRPr="002A5921">
              <w:rPr>
                <w:sz w:val="20"/>
                <w:szCs w:val="20"/>
              </w:rPr>
              <w:t>esign department available for independent learning on both sites.</w:t>
            </w:r>
            <w:r>
              <w:rPr>
                <w:sz w:val="20"/>
                <w:szCs w:val="20"/>
              </w:rPr>
              <w:t xml:space="preserve"> Design reference books also available in the school library. </w:t>
            </w:r>
          </w:p>
          <w:p w14:paraId="2777EA57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P.C.’s with Photoshop;2D Design and Google sketch up c</w:t>
            </w:r>
            <w:r w:rsidRPr="00C403E4">
              <w:rPr>
                <w:sz w:val="20"/>
                <w:szCs w:val="20"/>
              </w:rPr>
              <w:t>apabilities available to extend ICT skill-base.</w:t>
            </w:r>
          </w:p>
          <w:p w14:paraId="3E65DC3B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Website and </w:t>
            </w:r>
            <w:r>
              <w:rPr>
                <w:sz w:val="20"/>
                <w:szCs w:val="20"/>
              </w:rPr>
              <w:t xml:space="preserve">design reference list for pupils to explore. </w:t>
            </w:r>
          </w:p>
          <w:p w14:paraId="64BE87FE" w14:textId="77777777"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The use of more sophisticated equipment to promote refinement in practical tasks. To develop professional approach when utilizing current industry resources.</w:t>
            </w:r>
          </w:p>
          <w:p w14:paraId="7C73FCD4" w14:textId="77777777" w:rsidR="00980F2E" w:rsidRDefault="002A5921" w:rsidP="0073364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Extended </w:t>
            </w:r>
            <w:proofErr w:type="gramStart"/>
            <w:r>
              <w:rPr>
                <w:sz w:val="20"/>
                <w:szCs w:val="20"/>
              </w:rPr>
              <w:t>Photo</w:t>
            </w:r>
            <w:r w:rsidRPr="00C403E4">
              <w:rPr>
                <w:sz w:val="20"/>
                <w:szCs w:val="20"/>
              </w:rPr>
              <w:t>shop</w:t>
            </w:r>
            <w:r w:rsidR="008F78B6">
              <w:rPr>
                <w:sz w:val="20"/>
                <w:szCs w:val="20"/>
              </w:rPr>
              <w:t>;</w:t>
            </w:r>
            <w:proofErr w:type="gramEnd"/>
            <w:r w:rsidR="008F78B6">
              <w:rPr>
                <w:sz w:val="20"/>
                <w:szCs w:val="20"/>
              </w:rPr>
              <w:t xml:space="preserve"> 2D Design and Google S</w:t>
            </w:r>
            <w:r>
              <w:rPr>
                <w:sz w:val="20"/>
                <w:szCs w:val="20"/>
              </w:rPr>
              <w:t>ketchup</w:t>
            </w:r>
            <w:r w:rsidRPr="00C403E4">
              <w:rPr>
                <w:sz w:val="20"/>
                <w:szCs w:val="20"/>
              </w:rPr>
              <w:t xml:space="preserve"> tutorials to promote advanced skills.</w:t>
            </w:r>
          </w:p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14:paraId="08B73DE4" w14:textId="77777777"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14:paraId="78CE0474" w14:textId="77777777" w:rsidR="002A5921" w:rsidRDefault="00491DE7" w:rsidP="00E04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P6; KS4 sessions to enable AG&amp;T pupils to aim for their challenge grades. </w:t>
            </w:r>
            <w:r w:rsidR="00BC3FAF">
              <w:rPr>
                <w:sz w:val="20"/>
                <w:szCs w:val="20"/>
              </w:rPr>
              <w:t xml:space="preserve">Bury and Cambridge. </w:t>
            </w:r>
          </w:p>
          <w:p w14:paraId="128DD1ED" w14:textId="77777777" w:rsidR="004A1B06" w:rsidRDefault="004A1B06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14:paraId="65BB2745" w14:textId="77777777" w:rsidR="004A1B06" w:rsidRDefault="004A1B06" w:rsidP="00E04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Possible AG&amp;T KS3/year 9 Shell Make the Futures trip </w:t>
            </w:r>
            <w:proofErr w:type="gramStart"/>
            <w:r>
              <w:rPr>
                <w:sz w:val="20"/>
                <w:szCs w:val="20"/>
              </w:rPr>
              <w:t>2017;</w:t>
            </w:r>
            <w:proofErr w:type="gramEnd"/>
            <w:r>
              <w:rPr>
                <w:sz w:val="20"/>
                <w:szCs w:val="20"/>
              </w:rPr>
              <w:t xml:space="preserve"> similar to 2016 trip. TBC. </w:t>
            </w:r>
          </w:p>
        </w:tc>
      </w:tr>
    </w:tbl>
    <w:p w14:paraId="0A58AF5C" w14:textId="77777777"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>
      <w:footerReference w:type="default" r:id="rId11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DBB2" w14:textId="77777777" w:rsidR="00F11A76" w:rsidRDefault="00F11A76">
      <w:pPr>
        <w:spacing w:after="0" w:line="240" w:lineRule="auto"/>
      </w:pPr>
      <w:r>
        <w:separator/>
      </w:r>
    </w:p>
  </w:endnote>
  <w:endnote w:type="continuationSeparator" w:id="0">
    <w:p w14:paraId="3EB03991" w14:textId="77777777" w:rsidR="00F11A76" w:rsidRDefault="00F1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4504" w14:textId="77777777" w:rsidR="003424D1" w:rsidRDefault="009F6D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1CC">
      <w:rPr>
        <w:noProof/>
      </w:rPr>
      <w:t>1</w:t>
    </w:r>
    <w:r>
      <w:rPr>
        <w:noProof/>
      </w:rPr>
      <w:fldChar w:fldCharType="end"/>
    </w:r>
  </w:p>
  <w:p w14:paraId="398B9FDE" w14:textId="77777777"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11C6" w14:textId="77777777" w:rsidR="00F11A76" w:rsidRDefault="00F11A76">
      <w:pPr>
        <w:spacing w:after="0" w:line="240" w:lineRule="auto"/>
      </w:pPr>
      <w:r>
        <w:separator/>
      </w:r>
    </w:p>
  </w:footnote>
  <w:footnote w:type="continuationSeparator" w:id="0">
    <w:p w14:paraId="57C42DBA" w14:textId="77777777" w:rsidR="00F11A76" w:rsidRDefault="00F1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26"/>
  </w:num>
  <w:num w:numId="5">
    <w:abstractNumId w:val="7"/>
  </w:num>
  <w:num w:numId="6">
    <w:abstractNumId w:val="6"/>
  </w:num>
  <w:num w:numId="7">
    <w:abstractNumId w:val="14"/>
  </w:num>
  <w:num w:numId="8">
    <w:abstractNumId w:val="5"/>
  </w:num>
  <w:num w:numId="9">
    <w:abstractNumId w:val="0"/>
  </w:num>
  <w:num w:numId="10">
    <w:abstractNumId w:val="25"/>
  </w:num>
  <w:num w:numId="11">
    <w:abstractNumId w:val="20"/>
  </w:num>
  <w:num w:numId="12">
    <w:abstractNumId w:val="12"/>
  </w:num>
  <w:num w:numId="13">
    <w:abstractNumId w:val="18"/>
  </w:num>
  <w:num w:numId="14">
    <w:abstractNumId w:val="22"/>
  </w:num>
  <w:num w:numId="15">
    <w:abstractNumId w:val="23"/>
  </w:num>
  <w:num w:numId="16">
    <w:abstractNumId w:val="29"/>
  </w:num>
  <w:num w:numId="17">
    <w:abstractNumId w:val="8"/>
  </w:num>
  <w:num w:numId="18">
    <w:abstractNumId w:val="19"/>
  </w:num>
  <w:num w:numId="19">
    <w:abstractNumId w:val="16"/>
  </w:num>
  <w:num w:numId="20">
    <w:abstractNumId w:val="2"/>
  </w:num>
  <w:num w:numId="21">
    <w:abstractNumId w:val="11"/>
  </w:num>
  <w:num w:numId="22">
    <w:abstractNumId w:val="27"/>
  </w:num>
  <w:num w:numId="23">
    <w:abstractNumId w:val="3"/>
  </w:num>
  <w:num w:numId="24">
    <w:abstractNumId w:val="10"/>
  </w:num>
  <w:num w:numId="25">
    <w:abstractNumId w:val="28"/>
  </w:num>
  <w:num w:numId="26">
    <w:abstractNumId w:val="15"/>
  </w:num>
  <w:num w:numId="27">
    <w:abstractNumId w:val="9"/>
  </w:num>
  <w:num w:numId="28">
    <w:abstractNumId w:val="21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D1"/>
    <w:rsid w:val="000F128F"/>
    <w:rsid w:val="0026283C"/>
    <w:rsid w:val="002A5921"/>
    <w:rsid w:val="003171CC"/>
    <w:rsid w:val="003424D1"/>
    <w:rsid w:val="003C764F"/>
    <w:rsid w:val="003F17A4"/>
    <w:rsid w:val="00491DE7"/>
    <w:rsid w:val="004A1B06"/>
    <w:rsid w:val="007035DA"/>
    <w:rsid w:val="007108AD"/>
    <w:rsid w:val="00733649"/>
    <w:rsid w:val="0074552E"/>
    <w:rsid w:val="00790C2D"/>
    <w:rsid w:val="007F327E"/>
    <w:rsid w:val="00883E49"/>
    <w:rsid w:val="008C48FC"/>
    <w:rsid w:val="008F78B6"/>
    <w:rsid w:val="00980F2E"/>
    <w:rsid w:val="009F6DAB"/>
    <w:rsid w:val="00BA68B0"/>
    <w:rsid w:val="00BC3FAF"/>
    <w:rsid w:val="00C66DFB"/>
    <w:rsid w:val="00CB6338"/>
    <w:rsid w:val="00DA742C"/>
    <w:rsid w:val="00DF4FF0"/>
    <w:rsid w:val="00E44F63"/>
    <w:rsid w:val="00E650BB"/>
    <w:rsid w:val="00F11A76"/>
    <w:rsid w:val="00F83228"/>
    <w:rsid w:val="00FC3FB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D764EB"/>
  <w15:docId w15:val="{D4B0FF83-0FF7-438F-89D9-EAFEC349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Pr>
      <w:color w:val="003366"/>
      <w:u w:val="single"/>
    </w:rPr>
  </w:style>
  <w:style w:type="character" w:customStyle="1" w:styleId="pseudoh21">
    <w:name w:val="pseudo_h21"/>
    <w:basedOn w:val="DefaultParagraphFont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</w:style>
  <w:style w:type="character" w:customStyle="1" w:styleId="doccurrent1">
    <w:name w:val="doc_current1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da99d6-ad00-4f4e-90d3-666b77c9362f">
      <UserInfo>
        <DisplayName/>
        <AccountId xsi:nil="true"/>
        <AccountType/>
      </UserInfo>
    </SharedWithUsers>
    <MediaLengthInSeconds xmlns="d56884f6-5aef-413e-b829-2febe5923b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3" ma:contentTypeDescription="Create a new document." ma:contentTypeScope="" ma:versionID="74ea77d2cc9c34c02557d6513dba5950">
  <xsd:schema xmlns:xsd="http://www.w3.org/2001/XMLSchema" xmlns:xs="http://www.w3.org/2001/XMLSchema" xmlns:p="http://schemas.microsoft.com/office/2006/metadata/properties" xmlns:ns2="72da99d6-ad00-4f4e-90d3-666b77c9362f" xmlns:ns3="d56884f6-5aef-413e-b829-2febe5923b8f" targetNamespace="http://schemas.microsoft.com/office/2006/metadata/properties" ma:root="true" ma:fieldsID="07da97b624d5284e5a0a7acf6fd7fb19" ns2:_="" ns3:_="">
    <xsd:import namespace="72da99d6-ad00-4f4e-90d3-666b77c9362f"/>
    <xsd:import namespace="d56884f6-5aef-413e-b829-2febe5923b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9DA14-7E81-4A47-B9EF-2554D8F045BF}">
  <ds:schemaRefs>
    <ds:schemaRef ds:uri="http://purl.org/dc/dcmitype/"/>
    <ds:schemaRef ds:uri="http://purl.org/dc/terms/"/>
    <ds:schemaRef ds:uri="d56884f6-5aef-413e-b829-2febe5923b8f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2da99d6-ad00-4f4e-90d3-666b77c9362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A70947-18BE-45EC-9787-3038EA341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45188-3851-45BF-BDA3-94B8F73B7A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9A740A-4299-47A4-9F6F-94A864C4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a99d6-ad00-4f4e-90d3-666b77c9362f"/>
    <ds:schemaRef ds:uri="d56884f6-5aef-413e-b829-2febe592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Jane Shilvock</cp:lastModifiedBy>
  <cp:revision>2</cp:revision>
  <cp:lastPrinted>2012-01-13T08:16:00Z</cp:lastPrinted>
  <dcterms:created xsi:type="dcterms:W3CDTF">2021-09-20T15:52:00Z</dcterms:created>
  <dcterms:modified xsi:type="dcterms:W3CDTF">2021-09-20T15:52:00Z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  <property fmtid="{D5CDD505-2E9C-101B-9397-08002B2CF9AE}" pid="3" name="Order">
    <vt:r8>66000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