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4850" w:type="dxa"/>
        <w:tblLook w:val="04A0" w:firstRow="1" w:lastRow="0" w:firstColumn="1" w:lastColumn="0" w:noHBand="0" w:noVBand="1"/>
      </w:tblPr>
      <w:tblGrid>
        <w:gridCol w:w="4928"/>
        <w:gridCol w:w="1984"/>
        <w:gridCol w:w="496"/>
        <w:gridCol w:w="2481"/>
        <w:gridCol w:w="992"/>
        <w:gridCol w:w="3969"/>
      </w:tblGrid>
      <w:tr w:rsidR="005E21FE" w:rsidTr="00326C56">
        <w:tc>
          <w:tcPr>
            <w:tcW w:w="492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21FE" w:rsidRPr="004D0837" w:rsidRDefault="005E21FE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Subject:</w:t>
            </w:r>
          </w:p>
          <w:p w:rsidR="005E21FE" w:rsidRPr="004D0837" w:rsidRDefault="005E21FE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MATHEMATICS</w:t>
            </w:r>
          </w:p>
          <w:p w:rsidR="005E21FE" w:rsidRPr="004D0837" w:rsidRDefault="005E21FE">
            <w:pPr>
              <w:rPr>
                <w:b/>
                <w:sz w:val="20"/>
                <w:szCs w:val="20"/>
              </w:rPr>
            </w:pPr>
          </w:p>
        </w:tc>
        <w:tc>
          <w:tcPr>
            <w:tcW w:w="2480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21FE" w:rsidRDefault="005E21FE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Faculty:</w:t>
            </w:r>
            <w:r>
              <w:rPr>
                <w:b/>
                <w:sz w:val="20"/>
                <w:szCs w:val="20"/>
              </w:rPr>
              <w:t xml:space="preserve">  </w:t>
            </w:r>
          </w:p>
          <w:p w:rsidR="005E21FE" w:rsidRPr="004D0837" w:rsidRDefault="005E21FE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MATHEMATICS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</w:p>
        </w:tc>
        <w:tc>
          <w:tcPr>
            <w:tcW w:w="248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21FE" w:rsidRDefault="005E2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Academic Year:</w:t>
            </w:r>
          </w:p>
          <w:p w:rsidR="005E21FE" w:rsidRPr="004D0837" w:rsidRDefault="00AB044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2020 - 2021</w:t>
            </w:r>
          </w:p>
        </w:tc>
        <w:tc>
          <w:tcPr>
            <w:tcW w:w="4961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E21FE" w:rsidRPr="004D0837" w:rsidRDefault="005E21FE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Teacher i/c AG&amp;T:</w:t>
            </w:r>
          </w:p>
          <w:p w:rsidR="005E21FE" w:rsidRPr="004D0837" w:rsidRDefault="005E21FE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AN DENIZ</w:t>
            </w:r>
          </w:p>
        </w:tc>
      </w:tr>
      <w:tr w:rsidR="00DA20C1">
        <w:trPr>
          <w:trHeight w:val="1841"/>
        </w:trPr>
        <w:tc>
          <w:tcPr>
            <w:tcW w:w="14850" w:type="dxa"/>
            <w:gridSpan w:val="6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DA20C1" w:rsidRPr="004D0837" w:rsidRDefault="00B31A8A">
            <w:pPr>
              <w:rPr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Philosophy:</w:t>
            </w:r>
            <w:r w:rsidRPr="004D0837">
              <w:rPr>
                <w:sz w:val="20"/>
                <w:szCs w:val="20"/>
              </w:rPr>
              <w:t xml:space="preserve"> </w:t>
            </w:r>
          </w:p>
          <w:p w:rsidR="00DA20C1" w:rsidRPr="004D0837" w:rsidRDefault="00B31A8A">
            <w:pPr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Th</w:t>
            </w:r>
            <w:r w:rsidR="00717414">
              <w:rPr>
                <w:sz w:val="20"/>
                <w:szCs w:val="20"/>
              </w:rPr>
              <w:t>e faculty is committed to ensuring</w:t>
            </w:r>
            <w:r w:rsidRPr="004D0837">
              <w:rPr>
                <w:sz w:val="20"/>
                <w:szCs w:val="20"/>
              </w:rPr>
              <w:t xml:space="preserve"> that students develop their mathematical abilities to the fullest thus allowing them not only to access the curriculum </w:t>
            </w:r>
            <w:r w:rsidR="004E2B70">
              <w:rPr>
                <w:sz w:val="20"/>
                <w:szCs w:val="20"/>
              </w:rPr>
              <w:t>at a faster pace but also</w:t>
            </w:r>
            <w:r w:rsidRPr="004D0837">
              <w:rPr>
                <w:sz w:val="20"/>
                <w:szCs w:val="20"/>
              </w:rPr>
              <w:t xml:space="preserve"> avoid</w:t>
            </w:r>
            <w:r w:rsidR="004E2B70">
              <w:rPr>
                <w:sz w:val="20"/>
                <w:szCs w:val="20"/>
              </w:rPr>
              <w:t>ing</w:t>
            </w:r>
            <w:r w:rsidRPr="004D0837">
              <w:rPr>
                <w:sz w:val="20"/>
                <w:szCs w:val="20"/>
              </w:rPr>
              <w:t xml:space="preserve"> repetition of material that they have already </w:t>
            </w:r>
            <w:r w:rsidR="004E2B70">
              <w:rPr>
                <w:sz w:val="20"/>
                <w:szCs w:val="20"/>
              </w:rPr>
              <w:t xml:space="preserve">mastered.  Such a programme will </w:t>
            </w:r>
            <w:r w:rsidRPr="004D0837">
              <w:rPr>
                <w:sz w:val="20"/>
                <w:szCs w:val="20"/>
              </w:rPr>
              <w:t>also introduce the</w:t>
            </w:r>
            <w:r w:rsidR="004E2B70">
              <w:rPr>
                <w:sz w:val="20"/>
                <w:szCs w:val="20"/>
              </w:rPr>
              <w:t>m to topics that the rest of the cohort may</w:t>
            </w:r>
            <w:r w:rsidRPr="004D0837">
              <w:rPr>
                <w:sz w:val="20"/>
                <w:szCs w:val="20"/>
              </w:rPr>
              <w:t xml:space="preserve"> not study but, most important</w:t>
            </w:r>
            <w:r w:rsidR="00717414">
              <w:rPr>
                <w:sz w:val="20"/>
                <w:szCs w:val="20"/>
              </w:rPr>
              <w:t>ly</w:t>
            </w:r>
            <w:r w:rsidRPr="004D0837">
              <w:rPr>
                <w:sz w:val="20"/>
                <w:szCs w:val="20"/>
              </w:rPr>
              <w:t>, it introduces pupils to the joys and frustrations of thinking deeply about a range of original, open-ended, or complex problems that encourage them to respond creatively in ways that are original, fluent, flexible and elegant.</w:t>
            </w:r>
          </w:p>
          <w:p w:rsidR="00DA20C1" w:rsidRPr="004D0837" w:rsidRDefault="00DA20C1">
            <w:pPr>
              <w:rPr>
                <w:sz w:val="20"/>
                <w:szCs w:val="20"/>
              </w:rPr>
            </w:pP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Students who are more able, gifted and talented in Mathematics can be identified if they demonstrate many of the following abilities:</w:t>
            </w:r>
          </w:p>
        </w:tc>
      </w:tr>
      <w:tr w:rsidR="00DA20C1">
        <w:tc>
          <w:tcPr>
            <w:tcW w:w="9889" w:type="dxa"/>
            <w:gridSpan w:val="4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:rsidR="00DA20C1" w:rsidRPr="004D0837" w:rsidRDefault="00B31A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Problem solving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quick to understand and apply knowledge and skills in creative and original ways.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often take valid and unexpected shortcuts.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show persistence and flexibility when searching for solutions with a willingness to try different methods.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able to grasp the formal structure of a problem.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apply their knowledge to new and unfamiliar contexts.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work systematically and accurately.</w:t>
            </w:r>
          </w:p>
          <w:p w:rsidR="00DA20C1" w:rsidRPr="004D0837" w:rsidRDefault="00DA20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Communicating</w:t>
            </w:r>
            <w:r w:rsidRPr="004D0837">
              <w:rPr>
                <w:sz w:val="20"/>
                <w:szCs w:val="20"/>
              </w:rPr>
              <w:t xml:space="preserve"> 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communicate their reasoning and justify their methods.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fluent with symbolic representation.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may see calculations as detail and less important than the problem as a whole.</w:t>
            </w:r>
          </w:p>
          <w:p w:rsidR="00DA20C1" w:rsidRPr="004D0837" w:rsidRDefault="00DA20C1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:rsidR="00DA20C1" w:rsidRPr="004D0837" w:rsidRDefault="00B31A8A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Reasoning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readily generalise patterns and relationships.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reason logically and see flaws in arguments.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ask questions that show clear understanding and curiosity.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adept at posing their own questions.</w:t>
            </w:r>
          </w:p>
          <w:p w:rsidR="00DA20C1" w:rsidRPr="004D0837" w:rsidRDefault="00B31A8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make connections between the mathematics they have learnt.</w:t>
            </w:r>
          </w:p>
          <w:p w:rsidR="00DA20C1" w:rsidRPr="004D0837" w:rsidRDefault="00B31A8A">
            <w:pPr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• They are able to reverse mathematical processes.</w:t>
            </w:r>
          </w:p>
          <w:p w:rsidR="00DA20C1" w:rsidRPr="004D0837" w:rsidRDefault="00DA20C1">
            <w:pPr>
              <w:rPr>
                <w:sz w:val="20"/>
                <w:szCs w:val="20"/>
              </w:rPr>
            </w:pPr>
          </w:p>
        </w:tc>
      </w:tr>
      <w:tr w:rsidR="00DA20C1" w:rsidRPr="004D0837">
        <w:trPr>
          <w:trHeight w:val="1511"/>
        </w:trPr>
        <w:tc>
          <w:tcPr>
            <w:tcW w:w="6912" w:type="dxa"/>
            <w:gridSpan w:val="2"/>
            <w:tcBorders>
              <w:top w:val="single" w:sz="24" w:space="0" w:color="auto"/>
              <w:left w:val="single" w:sz="2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20C1" w:rsidRPr="004D0837" w:rsidRDefault="00B31A8A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Teaching and learning strategies:</w:t>
            </w:r>
          </w:p>
          <w:p w:rsidR="00DA20C1" w:rsidRPr="004D0837" w:rsidRDefault="00333992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  <w:r w:rsidR="00B31A8A" w:rsidRPr="004D0837">
              <w:rPr>
                <w:sz w:val="20"/>
                <w:szCs w:val="20"/>
              </w:rPr>
              <w:t>tting arrangements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Schemes of work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Differentiation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Teaching approaches / activities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A20C1" w:rsidRPr="004D0837" w:rsidRDefault="00B31A8A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AG&amp;T Resources audit: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Textbooks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ICT resources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Websites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Other materials</w:t>
            </w:r>
          </w:p>
        </w:tc>
        <w:tc>
          <w:tcPr>
            <w:tcW w:w="3969" w:type="dxa"/>
            <w:tcBorders>
              <w:top w:val="single" w:sz="24" w:space="0" w:color="auto"/>
              <w:left w:val="single" w:sz="4" w:space="0" w:color="auto"/>
              <w:bottom w:val="single" w:sz="4" w:space="0" w:color="000000" w:themeColor="text1"/>
              <w:right w:val="single" w:sz="24" w:space="0" w:color="auto"/>
            </w:tcBorders>
          </w:tcPr>
          <w:p w:rsidR="00DA20C1" w:rsidRPr="004D0837" w:rsidRDefault="00B31A8A">
            <w:pPr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ECS extra-curricular activities:</w:t>
            </w:r>
          </w:p>
          <w:p w:rsidR="00AA7B02" w:rsidRPr="00EA5883" w:rsidRDefault="00EA5883" w:rsidP="00EA5883">
            <w:pPr>
              <w:rPr>
                <w:sz w:val="20"/>
                <w:szCs w:val="20"/>
              </w:rPr>
            </w:pPr>
            <w:r w:rsidRPr="00EA5883">
              <w:rPr>
                <w:sz w:val="20"/>
                <w:szCs w:val="20"/>
              </w:rPr>
              <w:t>AG&amp;T</w:t>
            </w:r>
            <w:r w:rsidR="00965BDF">
              <w:rPr>
                <w:sz w:val="20"/>
                <w:szCs w:val="20"/>
              </w:rPr>
              <w:t xml:space="preserve"> MATHS</w:t>
            </w:r>
            <w:r w:rsidRPr="00EA5883">
              <w:rPr>
                <w:sz w:val="20"/>
                <w:szCs w:val="20"/>
              </w:rPr>
              <w:t xml:space="preserve"> AFTER SCHOOL </w:t>
            </w:r>
            <w:r>
              <w:rPr>
                <w:sz w:val="20"/>
                <w:szCs w:val="20"/>
              </w:rPr>
              <w:t xml:space="preserve">AND LUNCH </w:t>
            </w:r>
            <w:r w:rsidRPr="00EA5883">
              <w:rPr>
                <w:sz w:val="20"/>
                <w:szCs w:val="20"/>
              </w:rPr>
              <w:t>CLUBS</w:t>
            </w:r>
          </w:p>
        </w:tc>
      </w:tr>
      <w:tr w:rsidR="00DA20C1">
        <w:tc>
          <w:tcPr>
            <w:tcW w:w="6912" w:type="dxa"/>
            <w:gridSpan w:val="2"/>
            <w:tcBorders>
              <w:top w:val="single" w:sz="4" w:space="0" w:color="000000" w:themeColor="text1"/>
              <w:left w:val="single" w:sz="24" w:space="0" w:color="auto"/>
              <w:bottom w:val="single" w:sz="24" w:space="0" w:color="000000" w:themeColor="text1"/>
            </w:tcBorders>
          </w:tcPr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 xml:space="preserve">Setting arrangements 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The pupils are set according to ability early in Year 7 and the top sets study </w:t>
            </w:r>
            <w:r w:rsidR="00C34983">
              <w:rPr>
                <w:sz w:val="20"/>
                <w:szCs w:val="20"/>
              </w:rPr>
              <w:t>Steps</w:t>
            </w:r>
            <w:r w:rsidRPr="004D0837">
              <w:rPr>
                <w:sz w:val="20"/>
                <w:szCs w:val="20"/>
              </w:rPr>
              <w:t xml:space="preserve"> </w:t>
            </w:r>
            <w:r w:rsidR="00C34983">
              <w:rPr>
                <w:sz w:val="20"/>
                <w:szCs w:val="20"/>
              </w:rPr>
              <w:t>4 to 6</w:t>
            </w:r>
            <w:r w:rsidRPr="004D0837">
              <w:rPr>
                <w:sz w:val="20"/>
                <w:szCs w:val="20"/>
              </w:rPr>
              <w:t xml:space="preserve"> at Key Stage 3 and </w:t>
            </w:r>
            <w:r w:rsidR="00C340BE">
              <w:rPr>
                <w:sz w:val="20"/>
                <w:szCs w:val="20"/>
              </w:rPr>
              <w:t>G6+</w:t>
            </w:r>
            <w:r w:rsidRPr="004D0837">
              <w:rPr>
                <w:sz w:val="20"/>
                <w:szCs w:val="20"/>
              </w:rPr>
              <w:t xml:space="preserve"> at KS4. 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In KS5 one band is set with </w:t>
            </w:r>
            <w:r w:rsidR="00333992">
              <w:rPr>
                <w:sz w:val="20"/>
                <w:szCs w:val="20"/>
              </w:rPr>
              <w:t>G7</w:t>
            </w:r>
            <w:r w:rsidR="00C340BE">
              <w:rPr>
                <w:sz w:val="20"/>
                <w:szCs w:val="20"/>
              </w:rPr>
              <w:t xml:space="preserve">+ </w:t>
            </w:r>
            <w:r w:rsidRPr="004D0837">
              <w:rPr>
                <w:sz w:val="20"/>
                <w:szCs w:val="20"/>
              </w:rPr>
              <w:t>at GCSE</w:t>
            </w:r>
            <w:r w:rsidR="005E69CF">
              <w:rPr>
                <w:sz w:val="20"/>
                <w:szCs w:val="20"/>
              </w:rPr>
              <w:t xml:space="preserve"> and there is also the Further M</w:t>
            </w:r>
            <w:r w:rsidR="00C340BE">
              <w:rPr>
                <w:sz w:val="20"/>
                <w:szCs w:val="20"/>
              </w:rPr>
              <w:t>aths option</w:t>
            </w:r>
          </w:p>
          <w:p w:rsidR="00DA20C1" w:rsidRPr="004D0837" w:rsidRDefault="00DA20C1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t>Schemes of work</w:t>
            </w:r>
          </w:p>
          <w:p w:rsidR="00C1219B" w:rsidRDefault="005E69CF" w:rsidP="00C1219B">
            <w:pPr>
              <w:ind w:left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SOL</w:t>
            </w:r>
            <w:r w:rsidR="00B31A8A" w:rsidRPr="004D0837">
              <w:rPr>
                <w:sz w:val="20"/>
                <w:szCs w:val="20"/>
              </w:rPr>
              <w:t xml:space="preserve"> are differentiated from year 7 onwards to inclu</w:t>
            </w:r>
            <w:r w:rsidR="00C34983">
              <w:rPr>
                <w:sz w:val="20"/>
                <w:szCs w:val="20"/>
              </w:rPr>
              <w:t xml:space="preserve">de extension tasks for the </w:t>
            </w:r>
            <w:proofErr w:type="gramStart"/>
            <w:r w:rsidR="00C34983">
              <w:rPr>
                <w:sz w:val="20"/>
                <w:szCs w:val="20"/>
              </w:rPr>
              <w:t>more</w:t>
            </w:r>
            <w:r w:rsidR="00C34983" w:rsidRPr="004D0837">
              <w:rPr>
                <w:sz w:val="20"/>
                <w:szCs w:val="20"/>
              </w:rPr>
              <w:t xml:space="preserve"> able</w:t>
            </w:r>
            <w:proofErr w:type="gramEnd"/>
            <w:r w:rsidR="00B31A8A" w:rsidRPr="004D0837">
              <w:rPr>
                <w:sz w:val="20"/>
                <w:szCs w:val="20"/>
              </w:rPr>
              <w:t xml:space="preserve">, gifted and talented students. These tasks ensure that students access the topics at a higher level and even move on to work in the next year of learning. </w:t>
            </w:r>
          </w:p>
          <w:p w:rsidR="00DA20C1" w:rsidRPr="004D0837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sz w:val="20"/>
                <w:szCs w:val="20"/>
              </w:rPr>
            </w:pPr>
            <w:r w:rsidRPr="004D0837">
              <w:rPr>
                <w:b/>
                <w:sz w:val="20"/>
                <w:szCs w:val="20"/>
              </w:rPr>
              <w:lastRenderedPageBreak/>
              <w:t>Teaching approaches / activities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Use of effective questioning to deepen the student’s understanding of a topic.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Starter tasks that require higher order thinking skills are used to engage and challenge </w:t>
            </w:r>
            <w:r w:rsidR="00511ADC">
              <w:rPr>
                <w:sz w:val="20"/>
                <w:szCs w:val="20"/>
              </w:rPr>
              <w:t xml:space="preserve">the </w:t>
            </w:r>
            <w:proofErr w:type="gramStart"/>
            <w:r w:rsidRPr="004D0837">
              <w:rPr>
                <w:sz w:val="20"/>
                <w:szCs w:val="20"/>
              </w:rPr>
              <w:t>more able</w:t>
            </w:r>
            <w:proofErr w:type="gramEnd"/>
            <w:r w:rsidRPr="004D0837">
              <w:rPr>
                <w:sz w:val="20"/>
                <w:szCs w:val="20"/>
              </w:rPr>
              <w:t xml:space="preserve"> students. 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>Students are always encouraged to justify an</w:t>
            </w:r>
            <w:r w:rsidR="00B6405F">
              <w:rPr>
                <w:sz w:val="20"/>
                <w:szCs w:val="20"/>
              </w:rPr>
              <w:t>swers rather than just giving a numerical</w:t>
            </w:r>
            <w:r w:rsidRPr="004D0837">
              <w:rPr>
                <w:sz w:val="20"/>
                <w:szCs w:val="20"/>
              </w:rPr>
              <w:t xml:space="preserve"> a</w:t>
            </w:r>
            <w:r w:rsidR="00B6405F">
              <w:rPr>
                <w:sz w:val="20"/>
                <w:szCs w:val="20"/>
              </w:rPr>
              <w:t>nswer</w:t>
            </w:r>
            <w:r w:rsidRPr="004D0837">
              <w:rPr>
                <w:sz w:val="20"/>
                <w:szCs w:val="20"/>
              </w:rPr>
              <w:t>.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Students can expect different rather than just more </w:t>
            </w:r>
            <w:r w:rsidR="00B6405F">
              <w:rPr>
                <w:sz w:val="20"/>
                <w:szCs w:val="20"/>
              </w:rPr>
              <w:t xml:space="preserve">of the same </w:t>
            </w:r>
            <w:r w:rsidRPr="004D0837">
              <w:rPr>
                <w:sz w:val="20"/>
                <w:szCs w:val="20"/>
              </w:rPr>
              <w:t xml:space="preserve">as extension tasks. </w:t>
            </w:r>
          </w:p>
          <w:p w:rsidR="00DA20C1" w:rsidRPr="004D0837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Student led learning and think pair share are </w:t>
            </w:r>
            <w:r w:rsidR="00511ADC">
              <w:rPr>
                <w:sz w:val="20"/>
                <w:szCs w:val="20"/>
              </w:rPr>
              <w:t>strategies that are</w:t>
            </w:r>
            <w:r w:rsidRPr="004D0837">
              <w:rPr>
                <w:sz w:val="20"/>
                <w:szCs w:val="20"/>
              </w:rPr>
              <w:t xml:space="preserve"> often used to encourage independent learners of Mathematics.</w:t>
            </w:r>
          </w:p>
          <w:p w:rsidR="00DA20C1" w:rsidRPr="004D0837" w:rsidRDefault="00B31A8A" w:rsidP="00511ADC">
            <w:pPr>
              <w:pStyle w:val="ListParagraph"/>
              <w:ind w:left="426"/>
              <w:rPr>
                <w:sz w:val="20"/>
                <w:szCs w:val="20"/>
              </w:rPr>
            </w:pPr>
            <w:r w:rsidRPr="004D0837">
              <w:rPr>
                <w:sz w:val="20"/>
                <w:szCs w:val="20"/>
              </w:rPr>
              <w:t xml:space="preserve">Plenaries focus on the articulation of what has been learnt, using appropriate terminology and instil the habit of reflection on </w:t>
            </w:r>
            <w:r w:rsidR="00511ADC">
              <w:rPr>
                <w:sz w:val="20"/>
                <w:szCs w:val="20"/>
              </w:rPr>
              <w:t>past</w:t>
            </w:r>
            <w:r w:rsidRPr="004D0837">
              <w:rPr>
                <w:sz w:val="20"/>
                <w:szCs w:val="20"/>
              </w:rPr>
              <w:t xml:space="preserve"> learning.</w:t>
            </w:r>
          </w:p>
        </w:tc>
        <w:tc>
          <w:tcPr>
            <w:tcW w:w="3969" w:type="dxa"/>
            <w:gridSpan w:val="3"/>
            <w:tcBorders>
              <w:top w:val="single" w:sz="4" w:space="0" w:color="000000" w:themeColor="text1"/>
              <w:bottom w:val="single" w:sz="24" w:space="0" w:color="000000" w:themeColor="text1"/>
            </w:tcBorders>
          </w:tcPr>
          <w:p w:rsidR="00DA20C1" w:rsidRPr="00C11492" w:rsidRDefault="00B31A8A" w:rsidP="00C11492">
            <w:pPr>
              <w:pStyle w:val="ListParagraph"/>
              <w:numPr>
                <w:ilvl w:val="0"/>
                <w:numId w:val="1"/>
              </w:numPr>
              <w:rPr>
                <w:b/>
                <w:color w:val="000000" w:themeColor="text1"/>
                <w:sz w:val="20"/>
                <w:szCs w:val="20"/>
              </w:rPr>
            </w:pPr>
            <w:r w:rsidRPr="00C11492">
              <w:rPr>
                <w:b/>
                <w:color w:val="000000" w:themeColor="text1"/>
                <w:sz w:val="20"/>
                <w:szCs w:val="20"/>
              </w:rPr>
              <w:lastRenderedPageBreak/>
              <w:t>Textbooks</w:t>
            </w:r>
          </w:p>
          <w:p w:rsidR="00EA5883" w:rsidRPr="00C11492" w:rsidRDefault="0064584F" w:rsidP="00C11492">
            <w:pPr>
              <w:rPr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 xml:space="preserve">Year 7 </w:t>
            </w:r>
            <w:r w:rsidR="00B31A8A" w:rsidRPr="00C11492">
              <w:rPr>
                <w:color w:val="000000" w:themeColor="text1"/>
                <w:sz w:val="20"/>
                <w:szCs w:val="20"/>
              </w:rPr>
              <w:t xml:space="preserve">students have </w:t>
            </w:r>
            <w:r w:rsidR="00B31A8A" w:rsidRPr="00C11492">
              <w:rPr>
                <w:sz w:val="20"/>
                <w:szCs w:val="20"/>
              </w:rPr>
              <w:t>work set from the New Maths Framework books</w:t>
            </w:r>
            <w:r w:rsidR="00EA5883" w:rsidRPr="00C11492">
              <w:rPr>
                <w:sz w:val="20"/>
                <w:szCs w:val="20"/>
              </w:rPr>
              <w:t xml:space="preserve"> and </w:t>
            </w:r>
          </w:p>
          <w:p w:rsidR="00EA5883" w:rsidRDefault="00EA5883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="00DA20C1" w:rsidRPr="00C11492" w:rsidRDefault="00EA5883" w:rsidP="00C11492">
            <w:pPr>
              <w:rPr>
                <w:sz w:val="20"/>
                <w:szCs w:val="20"/>
              </w:rPr>
            </w:pPr>
            <w:r w:rsidRPr="00C11492">
              <w:rPr>
                <w:sz w:val="20"/>
                <w:szCs w:val="20"/>
              </w:rPr>
              <w:t>Y</w:t>
            </w:r>
            <w:r w:rsidR="0064584F" w:rsidRPr="00C11492">
              <w:rPr>
                <w:sz w:val="20"/>
                <w:szCs w:val="20"/>
              </w:rPr>
              <w:t>ear 8 have started some overlapping GCSE content to ensure they are KS4 ready</w:t>
            </w:r>
            <w:r w:rsidR="00B31A8A" w:rsidRPr="00C11492">
              <w:rPr>
                <w:sz w:val="20"/>
                <w:szCs w:val="20"/>
              </w:rPr>
              <w:t xml:space="preserve">. </w:t>
            </w:r>
            <w:r w:rsidR="00885235" w:rsidRPr="00C11492">
              <w:rPr>
                <w:sz w:val="20"/>
                <w:szCs w:val="20"/>
              </w:rPr>
              <w:t xml:space="preserve">They also </w:t>
            </w:r>
            <w:r w:rsidR="00437BA5" w:rsidRPr="00C11492">
              <w:rPr>
                <w:sz w:val="20"/>
                <w:szCs w:val="20"/>
              </w:rPr>
              <w:t>use current</w:t>
            </w:r>
            <w:r w:rsidR="00885235" w:rsidRPr="00C11492">
              <w:rPr>
                <w:sz w:val="20"/>
                <w:szCs w:val="20"/>
              </w:rPr>
              <w:t xml:space="preserve"> and old GCSE resources.</w:t>
            </w:r>
            <w:r w:rsidR="00711AEA" w:rsidRPr="00C11492">
              <w:rPr>
                <w:sz w:val="20"/>
                <w:szCs w:val="20"/>
              </w:rPr>
              <w:t xml:space="preserve"> We use book 1 and book 2 for homework.</w:t>
            </w:r>
          </w:p>
          <w:p w:rsidR="00885235" w:rsidRPr="00B7406D" w:rsidRDefault="00885235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="00DA20C1" w:rsidRPr="00B7406D" w:rsidRDefault="00B31A8A">
            <w:pPr>
              <w:pStyle w:val="ListParagraph"/>
              <w:ind w:left="426"/>
              <w:rPr>
                <w:sz w:val="20"/>
                <w:szCs w:val="20"/>
              </w:rPr>
            </w:pPr>
            <w:r w:rsidRPr="00B7406D">
              <w:rPr>
                <w:sz w:val="20"/>
                <w:szCs w:val="20"/>
              </w:rPr>
              <w:t>In year 9, 10 and 11 students use the higher</w:t>
            </w:r>
            <w:r w:rsidR="00CC1ADA">
              <w:rPr>
                <w:sz w:val="20"/>
                <w:szCs w:val="20"/>
              </w:rPr>
              <w:t>/Foundation</w:t>
            </w:r>
            <w:r w:rsidRPr="00B7406D">
              <w:rPr>
                <w:sz w:val="20"/>
                <w:szCs w:val="20"/>
              </w:rPr>
              <w:t xml:space="preserve"> Edexcel GCSE</w:t>
            </w:r>
            <w:r w:rsidR="00D3278B" w:rsidRPr="00B7406D">
              <w:rPr>
                <w:sz w:val="20"/>
                <w:szCs w:val="20"/>
              </w:rPr>
              <w:t xml:space="preserve"> 9-1</w:t>
            </w:r>
            <w:r w:rsidR="0064584F" w:rsidRPr="00B7406D">
              <w:rPr>
                <w:sz w:val="20"/>
                <w:szCs w:val="20"/>
              </w:rPr>
              <w:t xml:space="preserve"> </w:t>
            </w:r>
            <w:r w:rsidR="0064584F" w:rsidRPr="00B7406D">
              <w:rPr>
                <w:sz w:val="20"/>
                <w:szCs w:val="20"/>
              </w:rPr>
              <w:lastRenderedPageBreak/>
              <w:t>books</w:t>
            </w:r>
            <w:r w:rsidRPr="00B7406D">
              <w:rPr>
                <w:sz w:val="20"/>
                <w:szCs w:val="20"/>
              </w:rPr>
              <w:t xml:space="preserve">. </w:t>
            </w:r>
            <w:r w:rsidR="00885235">
              <w:rPr>
                <w:sz w:val="20"/>
                <w:szCs w:val="20"/>
              </w:rPr>
              <w:t xml:space="preserve"> Students can also access to online homework book.</w:t>
            </w:r>
          </w:p>
          <w:p w:rsidR="00DA20C1" w:rsidRPr="00B7406D" w:rsidRDefault="00DA20C1" w:rsidP="00B7406D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="0064584F" w:rsidRPr="00B7406D" w:rsidRDefault="0064584F" w:rsidP="00B7406D">
            <w:pPr>
              <w:pStyle w:val="ListParagraph"/>
              <w:ind w:left="426"/>
              <w:rPr>
                <w:sz w:val="20"/>
                <w:szCs w:val="20"/>
              </w:rPr>
            </w:pPr>
          </w:p>
          <w:p w:rsidR="00DA20C1" w:rsidRPr="00C11492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color w:val="000000" w:themeColor="text1"/>
                <w:sz w:val="20"/>
                <w:szCs w:val="20"/>
              </w:rPr>
            </w:pPr>
            <w:r w:rsidRPr="00C11492">
              <w:rPr>
                <w:b/>
                <w:color w:val="000000" w:themeColor="text1"/>
                <w:sz w:val="20"/>
                <w:szCs w:val="20"/>
              </w:rPr>
              <w:t>ICT resources</w:t>
            </w:r>
          </w:p>
          <w:p w:rsidR="00DA20C1" w:rsidRPr="00C11492" w:rsidRDefault="00B31A8A" w:rsidP="004911FD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 w:rsidRPr="00C11492">
              <w:rPr>
                <w:color w:val="000000" w:themeColor="text1"/>
                <w:sz w:val="20"/>
                <w:szCs w:val="20"/>
              </w:rPr>
              <w:t>Mathswatch</w:t>
            </w:r>
            <w:proofErr w:type="spellEnd"/>
            <w:r w:rsidRPr="00C11492">
              <w:rPr>
                <w:color w:val="000000" w:themeColor="text1"/>
                <w:sz w:val="20"/>
                <w:szCs w:val="20"/>
              </w:rPr>
              <w:t xml:space="preserve"> </w:t>
            </w:r>
            <w:r w:rsidR="003E6F82" w:rsidRPr="00C11492">
              <w:rPr>
                <w:color w:val="000000" w:themeColor="text1"/>
                <w:sz w:val="20"/>
                <w:szCs w:val="20"/>
              </w:rPr>
              <w:t>login</w:t>
            </w:r>
          </w:p>
          <w:p w:rsidR="00CC1ADA" w:rsidRPr="00C11492" w:rsidRDefault="00CC1ADA" w:rsidP="00C11492">
            <w:pPr>
              <w:rPr>
                <w:color w:val="000000" w:themeColor="text1"/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>HEGARTHY maths login</w:t>
            </w:r>
          </w:p>
          <w:p w:rsidR="004231A4" w:rsidRPr="00C11492" w:rsidRDefault="00C11492" w:rsidP="00C11492">
            <w:pPr>
              <w:rPr>
                <w:color w:val="000000" w:themeColor="text1"/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 xml:space="preserve">Purposeful Practice </w:t>
            </w:r>
            <w:r w:rsidR="004231A4" w:rsidRPr="00C11492">
              <w:rPr>
                <w:color w:val="000000" w:themeColor="text1"/>
                <w:sz w:val="20"/>
                <w:szCs w:val="20"/>
              </w:rPr>
              <w:t xml:space="preserve">Active </w:t>
            </w:r>
            <w:r w:rsidR="00885235" w:rsidRPr="00C11492">
              <w:rPr>
                <w:color w:val="000000" w:themeColor="text1"/>
                <w:sz w:val="20"/>
                <w:szCs w:val="20"/>
              </w:rPr>
              <w:t>learn login</w:t>
            </w:r>
          </w:p>
          <w:p w:rsidR="00CC1ADA" w:rsidRPr="00B7406D" w:rsidRDefault="00CC1ADA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="00DA20C1" w:rsidRPr="00B7406D" w:rsidRDefault="00DA20C1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="00DA20C1" w:rsidRPr="00C11492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color w:val="000000" w:themeColor="text1"/>
                <w:sz w:val="20"/>
                <w:szCs w:val="20"/>
              </w:rPr>
            </w:pPr>
            <w:r w:rsidRPr="00C11492">
              <w:rPr>
                <w:b/>
                <w:color w:val="000000" w:themeColor="text1"/>
                <w:sz w:val="20"/>
                <w:szCs w:val="20"/>
              </w:rPr>
              <w:t>Websites</w:t>
            </w:r>
          </w:p>
          <w:p w:rsidR="00DA20C1" w:rsidRPr="00C11492" w:rsidRDefault="004911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5" w:history="1">
              <w:r w:rsidR="00B31A8A" w:rsidRPr="00C11492">
                <w:rPr>
                  <w:color w:val="000000" w:themeColor="text1"/>
                </w:rPr>
                <w:t>www.nrich.maths.org</w:t>
              </w:r>
            </w:hyperlink>
          </w:p>
          <w:p w:rsidR="00DA20C1" w:rsidRPr="00C11492" w:rsidRDefault="004911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6" w:history="1">
              <w:r w:rsidR="00B31A8A" w:rsidRPr="00C11492">
                <w:rPr>
                  <w:color w:val="000000" w:themeColor="text1"/>
                </w:rPr>
                <w:t>www.mathsnet.net</w:t>
              </w:r>
            </w:hyperlink>
          </w:p>
          <w:p w:rsidR="00DA20C1" w:rsidRPr="00C11492" w:rsidRDefault="004911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7" w:history="1">
              <w:r w:rsidR="00B31A8A" w:rsidRPr="00C11492">
                <w:rPr>
                  <w:color w:val="000000" w:themeColor="text1"/>
                </w:rPr>
                <w:t>www.emaths.co.uk</w:t>
              </w:r>
            </w:hyperlink>
          </w:p>
          <w:p w:rsidR="00E72165" w:rsidRPr="00C11492" w:rsidRDefault="004911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8" w:history="1">
              <w:r w:rsidR="00F640F7" w:rsidRPr="00C11492">
                <w:rPr>
                  <w:rStyle w:val="Hyperlink"/>
                  <w:color w:val="000000" w:themeColor="text1"/>
                  <w:u w:val="none"/>
                </w:rPr>
                <w:t>www.mathswatchvle.com</w:t>
              </w:r>
            </w:hyperlink>
          </w:p>
          <w:p w:rsidR="00F640F7" w:rsidRPr="00C11492" w:rsidRDefault="004911FD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hyperlink r:id="rId9" w:history="1">
              <w:r w:rsidR="00F640F7" w:rsidRPr="00C11492">
                <w:rPr>
                  <w:rStyle w:val="Hyperlink"/>
                  <w:color w:val="000000" w:themeColor="text1"/>
                  <w:u w:val="none"/>
                </w:rPr>
                <w:t>www.mathsgenie.co.uk</w:t>
              </w:r>
            </w:hyperlink>
          </w:p>
          <w:p w:rsidR="00F640F7" w:rsidRPr="00C11492" w:rsidRDefault="004911FD">
            <w:pPr>
              <w:autoSpaceDE w:val="0"/>
              <w:autoSpaceDN w:val="0"/>
              <w:adjustRightInd w:val="0"/>
            </w:pPr>
            <w:hyperlink r:id="rId10" w:history="1">
              <w:r w:rsidR="005E69CF" w:rsidRPr="00C11492">
                <w:rPr>
                  <w:rStyle w:val="Hyperlink"/>
                  <w:color w:val="auto"/>
                  <w:u w:val="none"/>
                </w:rPr>
                <w:t>www.corbettmaths.com</w:t>
              </w:r>
            </w:hyperlink>
          </w:p>
          <w:p w:rsidR="005E69CF" w:rsidRPr="00C11492" w:rsidRDefault="005E69CF">
            <w:pPr>
              <w:autoSpaceDE w:val="0"/>
              <w:autoSpaceDN w:val="0"/>
              <w:adjustRightInd w:val="0"/>
            </w:pPr>
            <w:r w:rsidRPr="00C11492">
              <w:t>www. parallel.org.uk</w:t>
            </w:r>
          </w:p>
          <w:p w:rsidR="005E69CF" w:rsidRPr="00C11492" w:rsidRDefault="004911FD">
            <w:pPr>
              <w:autoSpaceDE w:val="0"/>
              <w:autoSpaceDN w:val="0"/>
              <w:adjustRightInd w:val="0"/>
            </w:pPr>
            <w:hyperlink r:id="rId11" w:history="1">
              <w:r w:rsidR="004231A4" w:rsidRPr="00C11492">
                <w:rPr>
                  <w:rStyle w:val="Hyperlink"/>
                  <w:color w:val="auto"/>
                  <w:u w:val="none"/>
                </w:rPr>
                <w:t>www.brilliant.org</w:t>
              </w:r>
            </w:hyperlink>
          </w:p>
          <w:p w:rsidR="004231A4" w:rsidRPr="00C11492" w:rsidRDefault="004231A4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C11492">
              <w:t>www. Mathsgenie.com</w:t>
            </w:r>
          </w:p>
          <w:p w:rsidR="00DA20C1" w:rsidRPr="00B7406D" w:rsidRDefault="00DA20C1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  <w:p w:rsidR="00DA20C1" w:rsidRPr="00C11492" w:rsidRDefault="00B31A8A">
            <w:pPr>
              <w:pStyle w:val="ListParagraph"/>
              <w:numPr>
                <w:ilvl w:val="0"/>
                <w:numId w:val="1"/>
              </w:numPr>
              <w:ind w:left="426" w:hanging="284"/>
              <w:rPr>
                <w:b/>
                <w:color w:val="000000" w:themeColor="text1"/>
                <w:sz w:val="20"/>
                <w:szCs w:val="20"/>
              </w:rPr>
            </w:pPr>
            <w:r w:rsidRPr="00C11492">
              <w:rPr>
                <w:b/>
                <w:color w:val="000000" w:themeColor="text1"/>
                <w:sz w:val="20"/>
                <w:szCs w:val="20"/>
              </w:rPr>
              <w:t>Other materials</w:t>
            </w:r>
          </w:p>
          <w:p w:rsidR="00C340BE" w:rsidRPr="00C11492" w:rsidRDefault="00B31A8A" w:rsidP="00C11492">
            <w:pPr>
              <w:ind w:left="142"/>
              <w:rPr>
                <w:color w:val="000000" w:themeColor="text1"/>
                <w:sz w:val="20"/>
                <w:szCs w:val="20"/>
              </w:rPr>
            </w:pPr>
            <w:r w:rsidRPr="00C11492">
              <w:rPr>
                <w:color w:val="000000" w:themeColor="text1"/>
                <w:sz w:val="20"/>
                <w:szCs w:val="20"/>
              </w:rPr>
              <w:t xml:space="preserve">Year 11 students </w:t>
            </w:r>
            <w:r w:rsidR="003E6F82" w:rsidRPr="00C11492">
              <w:rPr>
                <w:color w:val="000000" w:themeColor="text1"/>
                <w:sz w:val="20"/>
                <w:szCs w:val="20"/>
              </w:rPr>
              <w:t>will have</w:t>
            </w:r>
            <w:r w:rsidR="00C34983" w:rsidRPr="00C11492">
              <w:rPr>
                <w:color w:val="000000" w:themeColor="text1"/>
                <w:sz w:val="20"/>
                <w:szCs w:val="20"/>
              </w:rPr>
              <w:t xml:space="preserve"> assessment </w:t>
            </w:r>
            <w:r w:rsidR="00F640F7" w:rsidRPr="00C11492">
              <w:rPr>
                <w:color w:val="000000" w:themeColor="text1"/>
                <w:sz w:val="20"/>
                <w:szCs w:val="20"/>
              </w:rPr>
              <w:t xml:space="preserve">homework booklets to complete on a weekly basis as independent work. This will help </w:t>
            </w:r>
            <w:r w:rsidR="00C34983" w:rsidRPr="00C11492">
              <w:rPr>
                <w:color w:val="000000" w:themeColor="text1"/>
                <w:sz w:val="20"/>
                <w:szCs w:val="20"/>
              </w:rPr>
              <w:t xml:space="preserve">them get exam ready. </w:t>
            </w:r>
          </w:p>
          <w:p w:rsidR="00F640F7" w:rsidRPr="00B7406D" w:rsidRDefault="00F640F7" w:rsidP="00C340BE">
            <w:pPr>
              <w:pStyle w:val="ListParagraph"/>
              <w:ind w:left="426"/>
              <w:rPr>
                <w:color w:val="000000" w:themeColor="text1"/>
                <w:sz w:val="20"/>
                <w:szCs w:val="20"/>
              </w:rPr>
            </w:pPr>
          </w:p>
          <w:p w:rsidR="00C11492" w:rsidRDefault="00DA4601" w:rsidP="00EA5883">
            <w:pPr>
              <w:pStyle w:val="ListParagraph"/>
              <w:numPr>
                <w:ilvl w:val="0"/>
                <w:numId w:val="6"/>
              </w:numPr>
              <w:rPr>
                <w:color w:val="000000" w:themeColor="text1"/>
                <w:sz w:val="20"/>
                <w:szCs w:val="20"/>
              </w:rPr>
            </w:pPr>
            <w:r w:rsidRPr="00B7406D">
              <w:rPr>
                <w:color w:val="000000" w:themeColor="text1"/>
                <w:sz w:val="20"/>
                <w:szCs w:val="20"/>
              </w:rPr>
              <w:t xml:space="preserve">Y12 students </w:t>
            </w:r>
          </w:p>
          <w:p w:rsidR="004911FD" w:rsidRPr="00C11492" w:rsidRDefault="004911FD" w:rsidP="00491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Prepared booklet to prepare students for final exams using past papers and material from challenging resources</w:t>
            </w:r>
          </w:p>
          <w:p w:rsidR="004911FD" w:rsidRDefault="004911FD" w:rsidP="004911FD">
            <w:pPr>
              <w:ind w:left="180"/>
              <w:rPr>
                <w:color w:val="000000" w:themeColor="text1"/>
                <w:sz w:val="20"/>
                <w:szCs w:val="20"/>
              </w:rPr>
            </w:pPr>
          </w:p>
          <w:p w:rsidR="004911FD" w:rsidRDefault="004911FD" w:rsidP="00C11492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In class activities and exam practice from Underground Maths, Dr Frost Math,</w:t>
            </w:r>
          </w:p>
          <w:p w:rsidR="00C11492" w:rsidRPr="00C11492" w:rsidRDefault="004911FD" w:rsidP="00C11492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Malakiss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Maths</w:t>
            </w:r>
            <w:r w:rsidR="00EA5883" w:rsidRPr="00C11492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and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Soloman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</w:t>
            </w:r>
            <w:bookmarkStart w:id="0" w:name="_GoBack"/>
            <w:bookmarkEnd w:id="0"/>
            <w:r>
              <w:rPr>
                <w:color w:val="000000" w:themeColor="text1"/>
                <w:sz w:val="20"/>
                <w:szCs w:val="20"/>
              </w:rPr>
              <w:t>apers</w:t>
            </w:r>
          </w:p>
          <w:p w:rsidR="00DA20C1" w:rsidRPr="00805E70" w:rsidRDefault="00B31A8A">
            <w:pPr>
              <w:rPr>
                <w:color w:val="FF0000"/>
                <w:sz w:val="20"/>
                <w:szCs w:val="20"/>
              </w:rPr>
            </w:pPr>
            <w:r w:rsidRPr="00B7406D">
              <w:rPr>
                <w:color w:val="000000" w:themeColor="text1"/>
                <w:sz w:val="20"/>
                <w:szCs w:val="20"/>
              </w:rPr>
              <w:t xml:space="preserve">         </w:t>
            </w:r>
          </w:p>
        </w:tc>
        <w:tc>
          <w:tcPr>
            <w:tcW w:w="3969" w:type="dxa"/>
            <w:tcBorders>
              <w:top w:val="single" w:sz="4" w:space="0" w:color="000000" w:themeColor="text1"/>
              <w:bottom w:val="single" w:sz="24" w:space="0" w:color="000000" w:themeColor="text1"/>
              <w:right w:val="single" w:sz="24" w:space="0" w:color="auto"/>
            </w:tcBorders>
          </w:tcPr>
          <w:p w:rsidR="004474C1" w:rsidRPr="00C11492" w:rsidRDefault="00337D45" w:rsidP="0064584F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Challenges</w:t>
            </w:r>
          </w:p>
          <w:p w:rsidR="00EF1799" w:rsidRDefault="00EF1799" w:rsidP="00EF1799">
            <w:pPr>
              <w:ind w:left="360"/>
              <w:rPr>
                <w:sz w:val="20"/>
                <w:szCs w:val="20"/>
              </w:rPr>
            </w:pPr>
            <w:r w:rsidRPr="00A456CD">
              <w:rPr>
                <w:sz w:val="20"/>
                <w:szCs w:val="20"/>
              </w:rPr>
              <w:t xml:space="preserve">UKMT </w:t>
            </w:r>
            <w:r>
              <w:rPr>
                <w:sz w:val="20"/>
                <w:szCs w:val="20"/>
              </w:rPr>
              <w:t xml:space="preserve">Intermediate </w:t>
            </w:r>
            <w:r w:rsidR="0064584F">
              <w:rPr>
                <w:sz w:val="20"/>
                <w:szCs w:val="20"/>
              </w:rPr>
              <w:t>Maths challenge</w:t>
            </w:r>
          </w:p>
          <w:p w:rsidR="00333992" w:rsidRPr="00A456CD" w:rsidRDefault="00333992" w:rsidP="00EF1799">
            <w:pPr>
              <w:ind w:left="360"/>
              <w:rPr>
                <w:sz w:val="20"/>
                <w:szCs w:val="20"/>
              </w:rPr>
            </w:pPr>
          </w:p>
          <w:p w:rsidR="00E72165" w:rsidRDefault="00333992" w:rsidP="00E72165">
            <w:pPr>
              <w:ind w:left="360"/>
              <w:rPr>
                <w:sz w:val="20"/>
                <w:szCs w:val="20"/>
              </w:rPr>
            </w:pPr>
            <w:r w:rsidRPr="00A456CD">
              <w:rPr>
                <w:sz w:val="20"/>
                <w:szCs w:val="20"/>
              </w:rPr>
              <w:t xml:space="preserve">UKMT </w:t>
            </w:r>
            <w:r w:rsidR="00337D45">
              <w:rPr>
                <w:sz w:val="20"/>
                <w:szCs w:val="20"/>
              </w:rPr>
              <w:t>Junior</w:t>
            </w:r>
            <w:r>
              <w:rPr>
                <w:sz w:val="20"/>
                <w:szCs w:val="20"/>
              </w:rPr>
              <w:t xml:space="preserve"> </w:t>
            </w:r>
            <w:r w:rsidR="0064584F">
              <w:rPr>
                <w:sz w:val="20"/>
                <w:szCs w:val="20"/>
              </w:rPr>
              <w:t>Maths challenge</w:t>
            </w:r>
          </w:p>
          <w:p w:rsidR="00337D45" w:rsidRPr="00C340BE" w:rsidRDefault="00337D45" w:rsidP="00C340BE">
            <w:pPr>
              <w:pStyle w:val="ListParagraph"/>
              <w:rPr>
                <w:sz w:val="20"/>
                <w:szCs w:val="20"/>
              </w:rPr>
            </w:pPr>
            <w:r w:rsidRPr="00337D4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  <w:p w:rsidR="00337D45" w:rsidRDefault="00337D45" w:rsidP="00337D45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UKMT Challenge Clubs</w:t>
            </w:r>
          </w:p>
          <w:p w:rsidR="00337D45" w:rsidRPr="00B7406D" w:rsidRDefault="00337D45" w:rsidP="00C340BE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Solving past UKMT challenge papers </w:t>
            </w:r>
            <w:r w:rsidRPr="00B7406D">
              <w:rPr>
                <w:sz w:val="20"/>
                <w:szCs w:val="20"/>
              </w:rPr>
              <w:t>with AG&amp;T students before exam.</w:t>
            </w:r>
          </w:p>
          <w:p w:rsidR="00337D45" w:rsidRPr="00B7406D" w:rsidRDefault="00337D45" w:rsidP="000A2651">
            <w:pPr>
              <w:rPr>
                <w:sz w:val="20"/>
                <w:szCs w:val="20"/>
              </w:rPr>
            </w:pPr>
          </w:p>
          <w:p w:rsidR="00337D45" w:rsidRDefault="00337D45" w:rsidP="00337D45">
            <w:pPr>
              <w:pStyle w:val="ListParagraph"/>
              <w:rPr>
                <w:sz w:val="20"/>
                <w:szCs w:val="20"/>
              </w:rPr>
            </w:pPr>
          </w:p>
          <w:p w:rsidR="00337D45" w:rsidRDefault="00337D45" w:rsidP="00337D45">
            <w:pPr>
              <w:pStyle w:val="ListParagraph"/>
              <w:rPr>
                <w:sz w:val="20"/>
                <w:szCs w:val="20"/>
              </w:rPr>
            </w:pPr>
          </w:p>
          <w:p w:rsidR="00C11492" w:rsidRPr="00C11492" w:rsidRDefault="00C11492" w:rsidP="00C11492">
            <w:pPr>
              <w:pStyle w:val="ListParagraph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</w:rPr>
            </w:pPr>
            <w:r w:rsidRPr="00C11492">
              <w:rPr>
                <w:rFonts w:ascii="Calibri" w:eastAsia="Times New Roman" w:hAnsi="Calibri" w:cs="Calibri"/>
                <w:color w:val="000000"/>
              </w:rPr>
              <w:lastRenderedPageBreak/>
              <w:t>BRILLIANT CLUB</w:t>
            </w:r>
          </w:p>
          <w:p w:rsidR="00337D45" w:rsidRDefault="00337D45" w:rsidP="00337D45">
            <w:pPr>
              <w:pStyle w:val="ListParagraph"/>
              <w:rPr>
                <w:sz w:val="20"/>
                <w:szCs w:val="20"/>
              </w:rPr>
            </w:pPr>
          </w:p>
          <w:p w:rsidR="00337D45" w:rsidRDefault="00C11492" w:rsidP="00C11492">
            <w:pPr>
              <w:rPr>
                <w:rFonts w:ascii="Calibri" w:eastAsia="Times New Roman" w:hAnsi="Calibri" w:cs="Calibri"/>
                <w:color w:val="000000"/>
              </w:rPr>
            </w:pPr>
            <w:r w:rsidRPr="00EA5883">
              <w:rPr>
                <w:rFonts w:ascii="Calibri" w:eastAsia="Times New Roman" w:hAnsi="Calibri" w:cs="Calibri"/>
                <w:color w:val="000000"/>
              </w:rPr>
              <w:t xml:space="preserve">The Scholars Programme is an in-school academic programme for </w:t>
            </w:r>
            <w:r>
              <w:rPr>
                <w:rFonts w:ascii="Calibri" w:eastAsia="Times New Roman" w:hAnsi="Calibri" w:cs="Calibri"/>
                <w:color w:val="000000"/>
              </w:rPr>
              <w:t>s</w:t>
            </w:r>
            <w:r w:rsidRPr="00C11492">
              <w:rPr>
                <w:rFonts w:ascii="Calibri" w:eastAsia="Times New Roman" w:hAnsi="Calibri" w:cs="Calibri"/>
                <w:color w:val="000000"/>
              </w:rPr>
              <w:t>elected mainly AG&amp;T pupils. It is designed to give pupils exposure to a genuine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EA5883">
              <w:rPr>
                <w:rFonts w:ascii="Calibri" w:eastAsia="Times New Roman" w:hAnsi="Calibri" w:cs="Calibri"/>
                <w:color w:val="000000"/>
              </w:rPr>
              <w:t>academic environment and to experience learning in the style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of </w:t>
            </w:r>
            <w:r w:rsidRPr="00EA5883">
              <w:rPr>
                <w:rFonts w:ascii="Calibri" w:eastAsia="Times New Roman" w:hAnsi="Calibri" w:cs="Calibri"/>
                <w:color w:val="000000"/>
              </w:rPr>
              <w:t>a university student genuine academic environment and to</w:t>
            </w:r>
          </w:p>
          <w:p w:rsidR="00C11492" w:rsidRDefault="00C11492" w:rsidP="00C11492">
            <w:pPr>
              <w:rPr>
                <w:sz w:val="20"/>
                <w:szCs w:val="20"/>
              </w:rPr>
            </w:pPr>
          </w:p>
          <w:p w:rsidR="00C11492" w:rsidRDefault="00C11492" w:rsidP="00C11492">
            <w:pPr>
              <w:rPr>
                <w:sz w:val="20"/>
                <w:szCs w:val="20"/>
              </w:rPr>
            </w:pPr>
          </w:p>
          <w:p w:rsidR="00C11492" w:rsidRDefault="00C11492" w:rsidP="00C11492">
            <w:pPr>
              <w:rPr>
                <w:sz w:val="20"/>
                <w:szCs w:val="20"/>
              </w:rPr>
            </w:pPr>
          </w:p>
          <w:p w:rsidR="00C11492" w:rsidRDefault="00C11492" w:rsidP="00C11492">
            <w:pPr>
              <w:rPr>
                <w:sz w:val="20"/>
                <w:szCs w:val="20"/>
              </w:rPr>
            </w:pPr>
          </w:p>
          <w:p w:rsidR="00C11492" w:rsidRDefault="00C11492" w:rsidP="00C11492">
            <w:pPr>
              <w:rPr>
                <w:sz w:val="20"/>
                <w:szCs w:val="20"/>
              </w:rPr>
            </w:pPr>
          </w:p>
          <w:p w:rsidR="00C11492" w:rsidRPr="00C11492" w:rsidRDefault="00C11492" w:rsidP="00C11492">
            <w:pPr>
              <w:rPr>
                <w:sz w:val="20"/>
                <w:szCs w:val="20"/>
              </w:rPr>
            </w:pPr>
          </w:p>
        </w:tc>
      </w:tr>
    </w:tbl>
    <w:p w:rsidR="00DA20C1" w:rsidRDefault="00DA20C1"/>
    <w:p w:rsidR="00C11492" w:rsidRDefault="00C11492"/>
    <w:p w:rsidR="00C11492" w:rsidRDefault="00C11492"/>
    <w:sectPr w:rsidR="00C11492" w:rsidSect="00DA20C1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831"/>
    <w:multiLevelType w:val="hybridMultilevel"/>
    <w:tmpl w:val="9A180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A24C2"/>
    <w:multiLevelType w:val="hybridMultilevel"/>
    <w:tmpl w:val="C7744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874E4"/>
    <w:multiLevelType w:val="hybridMultilevel"/>
    <w:tmpl w:val="118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EC432"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B1724"/>
    <w:multiLevelType w:val="hybridMultilevel"/>
    <w:tmpl w:val="FAD2D150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4" w15:restartNumberingAfterBreak="0">
    <w:nsid w:val="259B5A0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B8F4F3C"/>
    <w:multiLevelType w:val="hybridMultilevel"/>
    <w:tmpl w:val="B7C453F0"/>
    <w:lvl w:ilvl="0" w:tplc="67301040">
      <w:numFmt w:val="bullet"/>
      <w:lvlText w:val="•"/>
      <w:lvlJc w:val="left"/>
      <w:pPr>
        <w:ind w:left="786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C1"/>
    <w:rsid w:val="000858F9"/>
    <w:rsid w:val="000A2651"/>
    <w:rsid w:val="000B4858"/>
    <w:rsid w:val="00191ABE"/>
    <w:rsid w:val="001A0D3D"/>
    <w:rsid w:val="001C6AB6"/>
    <w:rsid w:val="002E634C"/>
    <w:rsid w:val="00333992"/>
    <w:rsid w:val="00337D45"/>
    <w:rsid w:val="003824F1"/>
    <w:rsid w:val="00392709"/>
    <w:rsid w:val="003E6F82"/>
    <w:rsid w:val="003F0CA0"/>
    <w:rsid w:val="004231A4"/>
    <w:rsid w:val="00437BA5"/>
    <w:rsid w:val="004474C1"/>
    <w:rsid w:val="004911FD"/>
    <w:rsid w:val="004B6A1F"/>
    <w:rsid w:val="004D0837"/>
    <w:rsid w:val="004E2B70"/>
    <w:rsid w:val="004E38A3"/>
    <w:rsid w:val="00511ADC"/>
    <w:rsid w:val="005368DF"/>
    <w:rsid w:val="005A7E9F"/>
    <w:rsid w:val="005E21FE"/>
    <w:rsid w:val="005E69CF"/>
    <w:rsid w:val="0064584F"/>
    <w:rsid w:val="00711AEA"/>
    <w:rsid w:val="00717414"/>
    <w:rsid w:val="007405CB"/>
    <w:rsid w:val="007C02EE"/>
    <w:rsid w:val="007E08D2"/>
    <w:rsid w:val="00805E70"/>
    <w:rsid w:val="00841B2C"/>
    <w:rsid w:val="00885235"/>
    <w:rsid w:val="008904DF"/>
    <w:rsid w:val="00915DF4"/>
    <w:rsid w:val="00941AC2"/>
    <w:rsid w:val="009555E9"/>
    <w:rsid w:val="00965BDF"/>
    <w:rsid w:val="00A456CD"/>
    <w:rsid w:val="00AA7B02"/>
    <w:rsid w:val="00AB044C"/>
    <w:rsid w:val="00B31A8A"/>
    <w:rsid w:val="00B6405F"/>
    <w:rsid w:val="00B7406D"/>
    <w:rsid w:val="00C11492"/>
    <w:rsid w:val="00C1219B"/>
    <w:rsid w:val="00C253AB"/>
    <w:rsid w:val="00C340BE"/>
    <w:rsid w:val="00C34983"/>
    <w:rsid w:val="00C504BD"/>
    <w:rsid w:val="00CC1ADA"/>
    <w:rsid w:val="00D3278B"/>
    <w:rsid w:val="00DA20C1"/>
    <w:rsid w:val="00DA4601"/>
    <w:rsid w:val="00DC134B"/>
    <w:rsid w:val="00E72165"/>
    <w:rsid w:val="00EA5883"/>
    <w:rsid w:val="00EF1799"/>
    <w:rsid w:val="00EF2F50"/>
    <w:rsid w:val="00F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B0067"/>
  <w15:docId w15:val="{B187D0D2-0797-46C5-AB77-31FFFFD97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0C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A20C1"/>
    <w:pPr>
      <w:ind w:left="720"/>
      <w:contextualSpacing/>
    </w:pPr>
  </w:style>
  <w:style w:type="paragraph" w:customStyle="1" w:styleId="LBbulletlist">
    <w:name w:val="LB bullet list"/>
    <w:basedOn w:val="Normal"/>
    <w:rsid w:val="00DA20C1"/>
    <w:pPr>
      <w:spacing w:before="70" w:after="70" w:line="280" w:lineRule="atLeast"/>
      <w:ind w:left="360" w:hanging="360"/>
    </w:pPr>
    <w:rPr>
      <w:rFonts w:ascii="Arial" w:eastAsia="Times" w:hAnsi="Arial" w:cs="Times New Roman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A20C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20C1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4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4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swatchvl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ths.co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thsnet.net" TargetMode="External"/><Relationship Id="rId11" Type="http://schemas.openxmlformats.org/officeDocument/2006/relationships/hyperlink" Target="http://www.brilliant.org" TargetMode="External"/><Relationship Id="rId5" Type="http://schemas.openxmlformats.org/officeDocument/2006/relationships/hyperlink" Target="http://www.nrich.maths.org" TargetMode="External"/><Relationship Id="rId10" Type="http://schemas.openxmlformats.org/officeDocument/2006/relationships/hyperlink" Target="http://www.corbettmath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thsgeni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Edmonton County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pmiller</dc:creator>
  <cp:lastModifiedBy>Danielle Whyte</cp:lastModifiedBy>
  <cp:revision>3</cp:revision>
  <cp:lastPrinted>2017-09-27T07:03:00Z</cp:lastPrinted>
  <dcterms:created xsi:type="dcterms:W3CDTF">2020-10-16T13:57:00Z</dcterms:created>
  <dcterms:modified xsi:type="dcterms:W3CDTF">2020-10-16T16:29:00Z</dcterms:modified>
</cp:coreProperties>
</file>