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622" w:rsidRDefault="00E414CC">
      <w:pPr>
        <w:shd w:val="clear" w:color="auto" w:fill="FFFFFF"/>
        <w:spacing w:after="120" w:line="240" w:lineRule="auto"/>
        <w:outlineLvl w:val="2"/>
        <w:rPr>
          <w:rFonts w:asciiTheme="minorHAnsi" w:hAnsiTheme="minorHAnsi" w:cstheme="minorHAnsi"/>
          <w:b/>
          <w:noProof/>
          <w:sz w:val="28"/>
          <w:szCs w:val="28"/>
        </w:rPr>
      </w:pPr>
      <w:r>
        <w:rPr>
          <w:rFonts w:asciiTheme="minorHAnsi" w:hAnsiTheme="minorHAnsi" w:cstheme="minorHAnsi"/>
          <w:b/>
          <w:noProof/>
          <w:sz w:val="28"/>
          <w:szCs w:val="28"/>
          <w:lang w:eastAsia="en-GB"/>
        </w:rPr>
        <w:drawing>
          <wp:inline distT="0" distB="0" distL="0" distR="0">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p>
    <w:p w:rsidR="00756622" w:rsidRDefault="00E414CC">
      <w:pPr>
        <w:shd w:val="clear" w:color="auto" w:fill="FFFFFF"/>
        <w:spacing w:after="120" w:line="240" w:lineRule="auto"/>
        <w:jc w:val="center"/>
        <w:outlineLvl w:val="2"/>
        <w:rPr>
          <w:rFonts w:asciiTheme="minorHAnsi" w:eastAsia="Times New Roman" w:hAnsiTheme="minorHAnsi" w:cstheme="minorHAnsi"/>
          <w:b/>
          <w:bCs/>
          <w:sz w:val="32"/>
          <w:szCs w:val="32"/>
          <w:lang w:eastAsia="en-GB"/>
        </w:rPr>
      </w:pPr>
      <w:r>
        <w:rPr>
          <w:rFonts w:asciiTheme="minorHAnsi" w:eastAsia="Times New Roman" w:hAnsiTheme="minorHAnsi" w:cstheme="minorHAnsi"/>
          <w:b/>
          <w:bCs/>
          <w:sz w:val="32"/>
          <w:szCs w:val="32"/>
          <w:lang w:eastAsia="en-GB"/>
        </w:rPr>
        <w:t>Able, Gifted and Talented (AG&amp;T) Policy</w:t>
      </w:r>
    </w:p>
    <w:p w:rsidR="00756622" w:rsidRDefault="00E414CC">
      <w:pPr>
        <w:shd w:val="clear" w:color="auto" w:fill="FFFFFF"/>
        <w:spacing w:after="120" w:line="240" w:lineRule="auto"/>
        <w:jc w:val="center"/>
        <w:outlineLvl w:val="2"/>
        <w:rPr>
          <w:rFonts w:asciiTheme="minorHAnsi" w:eastAsia="Times New Roman" w:hAnsiTheme="minorHAnsi" w:cstheme="minorHAnsi"/>
          <w:b/>
          <w:bCs/>
          <w:i/>
          <w:sz w:val="32"/>
          <w:szCs w:val="32"/>
          <w:lang w:eastAsia="en-GB"/>
        </w:rPr>
      </w:pPr>
      <w:r>
        <w:rPr>
          <w:rFonts w:asciiTheme="minorHAnsi" w:eastAsia="Times New Roman" w:hAnsiTheme="minorHAnsi" w:cstheme="minorHAnsi"/>
          <w:b/>
          <w:bCs/>
          <w:i/>
          <w:sz w:val="32"/>
          <w:szCs w:val="32"/>
          <w:lang w:eastAsia="en-GB"/>
        </w:rPr>
        <w:t>January 2018 (for review July 2018)</w:t>
      </w:r>
    </w:p>
    <w:p w:rsidR="00756622" w:rsidRDefault="00E414CC">
      <w:pPr>
        <w:shd w:val="clear" w:color="auto" w:fill="FFFFFF"/>
        <w:spacing w:after="120" w:line="240" w:lineRule="auto"/>
        <w:outlineLvl w:val="2"/>
        <w:rPr>
          <w:rFonts w:asciiTheme="minorHAnsi" w:eastAsia="Times New Roman" w:hAnsiTheme="minorHAnsi" w:cstheme="minorHAnsi"/>
          <w:b/>
          <w:bCs/>
          <w:sz w:val="28"/>
          <w:szCs w:val="28"/>
          <w:lang w:eastAsia="en-GB"/>
        </w:rPr>
      </w:pPr>
      <w:r>
        <w:rPr>
          <w:rFonts w:asciiTheme="minorHAnsi" w:eastAsia="Times New Roman" w:hAnsiTheme="minorHAnsi" w:cstheme="minorHAnsi"/>
          <w:b/>
          <w:bCs/>
          <w:sz w:val="28"/>
          <w:szCs w:val="28"/>
          <w:lang w:eastAsia="en-GB"/>
        </w:rPr>
        <w:t>Policy Contents</w:t>
      </w:r>
    </w:p>
    <w:p w:rsidR="00756622" w:rsidRDefault="00E414CC">
      <w:pPr>
        <w:pStyle w:val="BodyText2"/>
        <w:numPr>
          <w:ilvl w:val="0"/>
          <w:numId w:val="24"/>
        </w:numPr>
        <w:jc w:val="left"/>
        <w:rPr>
          <w:rFonts w:asciiTheme="minorHAnsi" w:hAnsiTheme="minorHAnsi" w:cstheme="minorHAnsi"/>
          <w:b w:val="0"/>
          <w:bCs w:val="0"/>
          <w:sz w:val="22"/>
          <w:szCs w:val="22"/>
        </w:rPr>
      </w:pPr>
      <w:r>
        <w:rPr>
          <w:rFonts w:ascii="Calibri" w:hAnsi="Calibri" w:cs="Calibri"/>
          <w:b w:val="0"/>
          <w:bCs w:val="0"/>
          <w:sz w:val="22"/>
          <w:szCs w:val="22"/>
        </w:rPr>
        <w:t>Whole School Philosophy and Aims</w:t>
      </w:r>
    </w:p>
    <w:p w:rsidR="00756622" w:rsidRDefault="00E414CC">
      <w:pPr>
        <w:pStyle w:val="BodyText2"/>
        <w:numPr>
          <w:ilvl w:val="0"/>
          <w:numId w:val="24"/>
        </w:numPr>
        <w:jc w:val="left"/>
        <w:rPr>
          <w:rFonts w:ascii="Calibri" w:hAnsi="Calibri" w:cs="Calibri"/>
          <w:b w:val="0"/>
          <w:bCs w:val="0"/>
          <w:sz w:val="22"/>
          <w:szCs w:val="22"/>
        </w:rPr>
      </w:pPr>
      <w:r>
        <w:rPr>
          <w:rFonts w:asciiTheme="minorHAnsi" w:hAnsiTheme="minorHAnsi" w:cstheme="minorHAnsi"/>
          <w:b w:val="0"/>
          <w:bCs w:val="0"/>
          <w:sz w:val="22"/>
          <w:szCs w:val="22"/>
          <w:lang w:eastAsia="en-GB"/>
        </w:rPr>
        <w:t>A</w:t>
      </w:r>
      <w:r>
        <w:rPr>
          <w:rFonts w:ascii="Calibri" w:hAnsi="Calibri" w:cs="Calibri"/>
          <w:b w:val="0"/>
          <w:bCs w:val="0"/>
          <w:sz w:val="22"/>
          <w:szCs w:val="22"/>
          <w:lang w:eastAsia="en-GB"/>
        </w:rPr>
        <w:t>G</w:t>
      </w:r>
      <w:r>
        <w:rPr>
          <w:rFonts w:asciiTheme="minorHAnsi" w:hAnsiTheme="minorHAnsi" w:cstheme="minorHAnsi"/>
          <w:b w:val="0"/>
          <w:bCs w:val="0"/>
          <w:sz w:val="22"/>
          <w:szCs w:val="22"/>
          <w:lang w:eastAsia="en-GB"/>
        </w:rPr>
        <w:t>&amp;</w:t>
      </w:r>
      <w:r>
        <w:rPr>
          <w:rFonts w:ascii="Calibri" w:hAnsi="Calibri" w:cs="Calibri"/>
          <w:b w:val="0"/>
          <w:bCs w:val="0"/>
          <w:sz w:val="22"/>
          <w:szCs w:val="22"/>
          <w:lang w:eastAsia="en-GB"/>
        </w:rPr>
        <w:t>T Students</w:t>
      </w:r>
      <w:r>
        <w:rPr>
          <w:rFonts w:asciiTheme="minorHAnsi" w:hAnsiTheme="minorHAnsi" w:cstheme="minorHAnsi"/>
          <w:b w:val="0"/>
          <w:bCs w:val="0"/>
          <w:sz w:val="22"/>
          <w:szCs w:val="22"/>
          <w:lang w:eastAsia="en-GB"/>
        </w:rPr>
        <w:t xml:space="preserve"> </w:t>
      </w:r>
      <w:r>
        <w:rPr>
          <w:rFonts w:ascii="Calibri" w:hAnsi="Calibri" w:cs="Calibri"/>
          <w:b w:val="0"/>
          <w:bCs w:val="0"/>
          <w:sz w:val="22"/>
          <w:szCs w:val="22"/>
          <w:lang w:eastAsia="en-GB"/>
        </w:rPr>
        <w:t>- Definitions for Identification</w:t>
      </w:r>
    </w:p>
    <w:p w:rsidR="00756622" w:rsidRDefault="00E414CC">
      <w:pPr>
        <w:pStyle w:val="BodyText2"/>
        <w:numPr>
          <w:ilvl w:val="0"/>
          <w:numId w:val="24"/>
        </w:numPr>
        <w:jc w:val="left"/>
        <w:rPr>
          <w:rFonts w:ascii="Calibri" w:hAnsi="Calibri" w:cs="Calibri"/>
          <w:b w:val="0"/>
          <w:bCs w:val="0"/>
          <w:sz w:val="22"/>
          <w:szCs w:val="22"/>
        </w:rPr>
      </w:pPr>
      <w:r>
        <w:rPr>
          <w:rFonts w:asciiTheme="minorHAnsi" w:hAnsiTheme="minorHAnsi" w:cstheme="minorHAnsi"/>
          <w:b w:val="0"/>
          <w:bCs w:val="0"/>
          <w:sz w:val="22"/>
          <w:szCs w:val="22"/>
        </w:rPr>
        <w:t>Identification Process</w:t>
      </w:r>
    </w:p>
    <w:p w:rsidR="00756622" w:rsidRDefault="00E414CC">
      <w:pPr>
        <w:pStyle w:val="BodyText2"/>
        <w:numPr>
          <w:ilvl w:val="0"/>
          <w:numId w:val="2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Provision – overview</w:t>
      </w:r>
    </w:p>
    <w:p w:rsidR="00756622" w:rsidRDefault="00E414CC">
      <w:pPr>
        <w:pStyle w:val="BodyText2"/>
        <w:numPr>
          <w:ilvl w:val="0"/>
          <w:numId w:val="2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Provision – within the curriculum</w:t>
      </w:r>
    </w:p>
    <w:p w:rsidR="00756622" w:rsidRDefault="00E414CC">
      <w:pPr>
        <w:pStyle w:val="BodyText2"/>
        <w:numPr>
          <w:ilvl w:val="0"/>
          <w:numId w:val="24"/>
        </w:numPr>
        <w:jc w:val="left"/>
        <w:rPr>
          <w:rFonts w:asciiTheme="minorHAnsi" w:hAnsiTheme="minorHAnsi" w:cstheme="minorHAnsi"/>
          <w:b w:val="0"/>
          <w:sz w:val="22"/>
          <w:szCs w:val="22"/>
        </w:rPr>
      </w:pPr>
      <w:r>
        <w:rPr>
          <w:rFonts w:asciiTheme="minorHAnsi" w:hAnsiTheme="minorHAnsi" w:cstheme="minorHAnsi"/>
          <w:b w:val="0"/>
          <w:bCs w:val="0"/>
          <w:sz w:val="22"/>
          <w:szCs w:val="22"/>
        </w:rPr>
        <w:t xml:space="preserve">Provision – </w:t>
      </w:r>
      <w:r>
        <w:rPr>
          <w:rFonts w:asciiTheme="minorHAnsi" w:hAnsiTheme="minorHAnsi" w:cstheme="minorHAnsi"/>
          <w:b w:val="0"/>
          <w:sz w:val="22"/>
          <w:szCs w:val="22"/>
        </w:rPr>
        <w:t>enrichment and enhancement</w:t>
      </w:r>
    </w:p>
    <w:p w:rsidR="00756622" w:rsidRDefault="00E414CC">
      <w:pPr>
        <w:pStyle w:val="BodyText2"/>
        <w:numPr>
          <w:ilvl w:val="0"/>
          <w:numId w:val="2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Provision -  support for individual students</w:t>
      </w:r>
    </w:p>
    <w:p w:rsidR="00756622" w:rsidRDefault="00E414CC">
      <w:pPr>
        <w:pStyle w:val="BodyText2"/>
        <w:numPr>
          <w:ilvl w:val="0"/>
          <w:numId w:val="24"/>
        </w:numPr>
        <w:jc w:val="left"/>
        <w:rPr>
          <w:rFonts w:ascii="Calibri" w:hAnsi="Calibri" w:cs="Calibri"/>
          <w:b w:val="0"/>
          <w:bCs w:val="0"/>
          <w:sz w:val="22"/>
          <w:szCs w:val="22"/>
        </w:rPr>
      </w:pPr>
      <w:r>
        <w:rPr>
          <w:rFonts w:asciiTheme="minorHAnsi" w:hAnsiTheme="minorHAnsi" w:cstheme="minorHAnsi"/>
          <w:b w:val="0"/>
          <w:bCs w:val="0"/>
          <w:sz w:val="22"/>
          <w:szCs w:val="22"/>
        </w:rPr>
        <w:t>Staffing structure</w:t>
      </w:r>
    </w:p>
    <w:p w:rsidR="00756622" w:rsidRDefault="00E414CC">
      <w:pPr>
        <w:pStyle w:val="BodyText2"/>
        <w:numPr>
          <w:ilvl w:val="0"/>
          <w:numId w:val="2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Monitoring and Evaluation</w:t>
      </w:r>
    </w:p>
    <w:p w:rsidR="00756622" w:rsidRDefault="00E414CC">
      <w:pPr>
        <w:pStyle w:val="BodyText2"/>
        <w:numPr>
          <w:ilvl w:val="0"/>
          <w:numId w:val="24"/>
        </w:numPr>
        <w:jc w:val="left"/>
        <w:rPr>
          <w:rFonts w:ascii="Calibri" w:hAnsi="Calibri" w:cs="Calibri"/>
          <w:b w:val="0"/>
          <w:bCs w:val="0"/>
          <w:sz w:val="22"/>
          <w:szCs w:val="22"/>
        </w:rPr>
      </w:pPr>
      <w:r>
        <w:rPr>
          <w:rFonts w:asciiTheme="minorHAnsi" w:hAnsiTheme="minorHAnsi" w:cstheme="minorHAnsi"/>
          <w:b w:val="0"/>
          <w:bCs w:val="0"/>
          <w:sz w:val="22"/>
          <w:szCs w:val="22"/>
        </w:rPr>
        <w:t>Parents</w:t>
      </w:r>
      <w:r w:rsidR="00A01F8E">
        <w:rPr>
          <w:rFonts w:asciiTheme="minorHAnsi" w:hAnsiTheme="minorHAnsi" w:cstheme="minorHAnsi"/>
          <w:b w:val="0"/>
          <w:bCs w:val="0"/>
          <w:sz w:val="22"/>
          <w:szCs w:val="22"/>
        </w:rPr>
        <w:t xml:space="preserve"> and Communication</w:t>
      </w:r>
    </w:p>
    <w:p w:rsidR="00756622" w:rsidRDefault="00A01F8E" w:rsidP="00A01F8E">
      <w:pPr>
        <w:pStyle w:val="BodyText2"/>
        <w:ind w:left="360"/>
        <w:jc w:val="left"/>
        <w:rPr>
          <w:rFonts w:ascii="Calibri" w:hAnsi="Calibri" w:cs="Calibri"/>
          <w:b w:val="0"/>
          <w:bCs w:val="0"/>
          <w:sz w:val="22"/>
          <w:szCs w:val="22"/>
        </w:rPr>
      </w:pPr>
      <w:r>
        <w:rPr>
          <w:rFonts w:ascii="Calibri" w:hAnsi="Calibri" w:cs="Calibri"/>
          <w:b w:val="0"/>
          <w:bCs w:val="0"/>
          <w:sz w:val="22"/>
          <w:szCs w:val="22"/>
        </w:rPr>
        <w:t>Appendices: Other documentation</w:t>
      </w:r>
    </w:p>
    <w:p w:rsidR="00756622" w:rsidRDefault="00756622">
      <w:pPr>
        <w:shd w:val="clear" w:color="auto" w:fill="FFFFFF"/>
        <w:spacing w:after="120" w:line="240" w:lineRule="auto"/>
        <w:outlineLvl w:val="2"/>
        <w:rPr>
          <w:rFonts w:eastAsia="Times New Roman" w:cs="Calibri"/>
          <w:b/>
          <w:bCs/>
          <w:sz w:val="24"/>
          <w:szCs w:val="24"/>
          <w:lang w:eastAsia="en-GB"/>
        </w:rPr>
      </w:pPr>
    </w:p>
    <w:p w:rsidR="00756622" w:rsidRDefault="00E414CC">
      <w:pPr>
        <w:pStyle w:val="ListParagraph"/>
        <w:numPr>
          <w:ilvl w:val="0"/>
          <w:numId w:val="25"/>
        </w:numPr>
        <w:shd w:val="clear" w:color="auto" w:fill="FFFFFF"/>
        <w:spacing w:after="120" w:line="240" w:lineRule="auto"/>
        <w:ind w:left="426" w:hanging="426"/>
        <w:outlineLvl w:val="2"/>
        <w:rPr>
          <w:rFonts w:eastAsia="Times New Roman" w:cs="Calibri"/>
          <w:b/>
          <w:bCs/>
          <w:sz w:val="28"/>
          <w:szCs w:val="28"/>
          <w:lang w:eastAsia="en-GB"/>
        </w:rPr>
      </w:pPr>
      <w:r>
        <w:rPr>
          <w:rFonts w:eastAsia="Times New Roman" w:cs="Calibri"/>
          <w:b/>
          <w:bCs/>
          <w:sz w:val="28"/>
          <w:szCs w:val="28"/>
          <w:lang w:eastAsia="en-GB"/>
        </w:rPr>
        <w:t>Whole School Philosophy and Aims</w:t>
      </w:r>
    </w:p>
    <w:p w:rsidR="00756622" w:rsidRDefault="00756622">
      <w:pPr>
        <w:pStyle w:val="ListParagraph"/>
        <w:shd w:val="clear" w:color="auto" w:fill="FFFFFF"/>
        <w:spacing w:after="120" w:line="240" w:lineRule="auto"/>
        <w:ind w:left="426"/>
        <w:outlineLvl w:val="2"/>
        <w:rPr>
          <w:rFonts w:eastAsia="Times New Roman" w:cs="Calibri"/>
          <w:b/>
          <w:bCs/>
          <w:sz w:val="28"/>
          <w:szCs w:val="28"/>
          <w:lang w:eastAsia="en-GB"/>
        </w:rPr>
      </w:pPr>
    </w:p>
    <w:p w:rsidR="00756622" w:rsidRDefault="00E414CC">
      <w:pPr>
        <w:numPr>
          <w:ilvl w:val="0"/>
          <w:numId w:val="23"/>
        </w:numPr>
        <w:spacing w:after="0" w:line="240" w:lineRule="auto"/>
        <w:rPr>
          <w:rFonts w:cs="Calibri"/>
        </w:rPr>
      </w:pPr>
      <w:r>
        <w:rPr>
          <w:rFonts w:asciiTheme="minorHAnsi" w:hAnsiTheme="minorHAnsi" w:cstheme="minorHAnsi"/>
        </w:rPr>
        <w:t>ECS</w:t>
      </w:r>
      <w:r>
        <w:rPr>
          <w:rFonts w:cs="Calibri"/>
        </w:rPr>
        <w:t xml:space="preserve"> aims to support the learning of </w:t>
      </w:r>
      <w:r>
        <w:rPr>
          <w:rFonts w:cs="Calibri"/>
          <w:i/>
          <w:iCs/>
        </w:rPr>
        <w:t>all</w:t>
      </w:r>
      <w:r>
        <w:rPr>
          <w:rFonts w:cs="Calibri"/>
        </w:rPr>
        <w:t xml:space="preserve"> students.  Students with particular gifts and talents must be recognised and helped to reach their full potential – intellectually, emotionally, aesthetically, socially and physically.  We are working to provide a challenging and stimulating learning environment for all, which offers the opportunities for students to shine and develop an enthusiasm for lifelong learning.  </w:t>
      </w:r>
      <w:r>
        <w:rPr>
          <w:rFonts w:cs="Calibri"/>
        </w:rPr>
        <w:br/>
      </w:r>
    </w:p>
    <w:p w:rsidR="00756622" w:rsidRDefault="00E414CC">
      <w:pPr>
        <w:numPr>
          <w:ilvl w:val="0"/>
          <w:numId w:val="23"/>
        </w:numPr>
        <w:spacing w:after="0" w:line="240" w:lineRule="auto"/>
        <w:rPr>
          <w:rFonts w:cs="Calibri"/>
        </w:rPr>
      </w:pPr>
      <w:r>
        <w:rPr>
          <w:rFonts w:cs="Calibri"/>
        </w:rPr>
        <w:t xml:space="preserve">Identification of the particular gifts and talents of students allows us to target opportunities wisely.  However, provision is not targeted at a small percentage of students who are outstanding in </w:t>
      </w:r>
      <w:r>
        <w:rPr>
          <w:rFonts w:cs="Calibri"/>
          <w:i/>
        </w:rPr>
        <w:t>all</w:t>
      </w:r>
      <w:r>
        <w:rPr>
          <w:rFonts w:cs="Calibri"/>
        </w:rPr>
        <w:t xml:space="preserve"> areas, but includes a much larger group of children who have particular strengths and/or interests in specific areas.  We aim to maximise opportunities for all members of our community.</w:t>
      </w:r>
      <w:r>
        <w:rPr>
          <w:rFonts w:cs="Calibri"/>
        </w:rPr>
        <w:br/>
      </w:r>
    </w:p>
    <w:p w:rsidR="00756622" w:rsidRDefault="00E414CC">
      <w:pPr>
        <w:numPr>
          <w:ilvl w:val="0"/>
          <w:numId w:val="23"/>
        </w:numPr>
        <w:spacing w:after="0" w:line="240" w:lineRule="auto"/>
        <w:rPr>
          <w:rFonts w:cs="Calibri"/>
        </w:rPr>
      </w:pPr>
      <w:r>
        <w:rPr>
          <w:rFonts w:cs="Calibri"/>
        </w:rPr>
        <w:t xml:space="preserve">We do not intend to neglect the needs and interests of less able students.  Enriching lessons and activities to target the </w:t>
      </w:r>
      <w:r>
        <w:rPr>
          <w:rFonts w:asciiTheme="minorHAnsi" w:hAnsiTheme="minorHAnsi" w:cstheme="minorHAnsi"/>
        </w:rPr>
        <w:t>A</w:t>
      </w:r>
      <w:r>
        <w:rPr>
          <w:rFonts w:cs="Calibri"/>
        </w:rPr>
        <w:t>G&amp;T cohort may also raise expectations more generally and so benefits all students.</w:t>
      </w:r>
    </w:p>
    <w:p w:rsidR="00756622" w:rsidRDefault="00756622">
      <w:pPr>
        <w:spacing w:after="0" w:line="240" w:lineRule="auto"/>
        <w:ind w:left="720"/>
        <w:rPr>
          <w:rFonts w:cs="Calibri"/>
        </w:rPr>
      </w:pPr>
    </w:p>
    <w:p w:rsidR="00756622" w:rsidRDefault="00E414CC">
      <w:pPr>
        <w:numPr>
          <w:ilvl w:val="0"/>
          <w:numId w:val="23"/>
        </w:numPr>
        <w:spacing w:after="0" w:line="240" w:lineRule="auto"/>
        <w:rPr>
          <w:rFonts w:cs="Calibri"/>
        </w:rPr>
      </w:pPr>
      <w:r>
        <w:rPr>
          <w:rFonts w:cs="Calibri"/>
        </w:rPr>
        <w:t>We aim to celebrate achievement and create an ethos where it is okay to be bright and enthusiastic.</w:t>
      </w:r>
    </w:p>
    <w:p w:rsidR="00756622" w:rsidRDefault="00756622">
      <w:pPr>
        <w:spacing w:after="0" w:line="240" w:lineRule="auto"/>
        <w:rPr>
          <w:rFonts w:cs="Calibri"/>
        </w:rPr>
      </w:pPr>
    </w:p>
    <w:p w:rsidR="00756622" w:rsidRDefault="00E414CC">
      <w:pPr>
        <w:numPr>
          <w:ilvl w:val="0"/>
          <w:numId w:val="23"/>
        </w:numPr>
        <w:spacing w:after="0" w:line="240" w:lineRule="auto"/>
        <w:rPr>
          <w:rFonts w:cs="Calibri"/>
        </w:rPr>
      </w:pPr>
      <w:r>
        <w:rPr>
          <w:rFonts w:cs="Calibri"/>
        </w:rPr>
        <w:t>All students with identified gifts and talents in particular subjects should achieve at least their Target Grades in those subjects and preferably their Challenge Grades (Target Grade +1). One important measure of our success</w:t>
      </w:r>
      <w:r w:rsidR="006C3827">
        <w:rPr>
          <w:rFonts w:cs="Calibri"/>
        </w:rPr>
        <w:t xml:space="preserve"> is the yearly </w:t>
      </w:r>
      <w:proofErr w:type="spellStart"/>
      <w:r w:rsidR="006C3827">
        <w:rPr>
          <w:rFonts w:cs="Calibri"/>
        </w:rPr>
        <w:t>RaiseOnline</w:t>
      </w:r>
      <w:proofErr w:type="spellEnd"/>
      <w:r w:rsidR="006C3827">
        <w:rPr>
          <w:rFonts w:cs="Calibri"/>
        </w:rPr>
        <w:t xml:space="preserve"> / ASP School Performance Summary</w:t>
      </w:r>
      <w:r>
        <w:rPr>
          <w:rFonts w:cs="Calibri"/>
        </w:rPr>
        <w:t xml:space="preserve"> report. Our aim is for all performance measures in this report to show that our students are performing at least as well as similar students nationally.</w:t>
      </w:r>
    </w:p>
    <w:p w:rsidR="00756622" w:rsidRDefault="00756622">
      <w:pPr>
        <w:pStyle w:val="ListParagraph"/>
        <w:rPr>
          <w:rFonts w:cs="Calibri"/>
          <w:color w:val="FF0000"/>
        </w:rPr>
      </w:pPr>
    </w:p>
    <w:p w:rsidR="00A01F8E" w:rsidRDefault="00A01F8E">
      <w:pPr>
        <w:pStyle w:val="ListParagraph"/>
        <w:rPr>
          <w:rFonts w:cs="Calibri"/>
          <w:color w:val="FF0000"/>
        </w:rPr>
      </w:pPr>
    </w:p>
    <w:p w:rsidR="00756622" w:rsidRDefault="00E414CC">
      <w:pPr>
        <w:pStyle w:val="ListParagraph"/>
        <w:numPr>
          <w:ilvl w:val="0"/>
          <w:numId w:val="25"/>
        </w:numPr>
        <w:shd w:val="clear" w:color="auto" w:fill="FFFFFF"/>
        <w:spacing w:after="120" w:line="240" w:lineRule="auto"/>
        <w:ind w:left="426" w:hanging="426"/>
        <w:outlineLvl w:val="2"/>
        <w:rPr>
          <w:rFonts w:asciiTheme="minorHAnsi" w:eastAsia="Times New Roman" w:hAnsiTheme="minorHAnsi" w:cstheme="minorHAnsi"/>
          <w:b/>
          <w:bCs/>
          <w:sz w:val="28"/>
          <w:szCs w:val="28"/>
          <w:lang w:eastAsia="en-GB"/>
        </w:rPr>
      </w:pPr>
      <w:r>
        <w:rPr>
          <w:rFonts w:eastAsia="Times New Roman" w:cs="Calibri"/>
          <w:b/>
          <w:bCs/>
          <w:sz w:val="28"/>
          <w:szCs w:val="28"/>
          <w:lang w:eastAsia="en-GB"/>
        </w:rPr>
        <w:lastRenderedPageBreak/>
        <w:t>AG</w:t>
      </w:r>
      <w:r>
        <w:rPr>
          <w:rFonts w:asciiTheme="minorHAnsi" w:eastAsia="Times New Roman" w:hAnsiTheme="minorHAnsi" w:cstheme="minorHAnsi"/>
          <w:b/>
          <w:bCs/>
          <w:sz w:val="28"/>
          <w:szCs w:val="28"/>
          <w:lang w:eastAsia="en-GB"/>
        </w:rPr>
        <w:t>&amp;</w:t>
      </w:r>
      <w:r>
        <w:rPr>
          <w:rFonts w:eastAsia="Times New Roman" w:cs="Calibri"/>
          <w:b/>
          <w:bCs/>
          <w:sz w:val="28"/>
          <w:szCs w:val="28"/>
          <w:lang w:eastAsia="en-GB"/>
        </w:rPr>
        <w:t>T Students</w:t>
      </w:r>
      <w:r>
        <w:rPr>
          <w:rFonts w:asciiTheme="minorHAnsi" w:eastAsia="Times New Roman" w:hAnsiTheme="minorHAnsi" w:cstheme="minorHAnsi"/>
          <w:b/>
          <w:bCs/>
          <w:sz w:val="28"/>
          <w:szCs w:val="28"/>
          <w:lang w:eastAsia="en-GB"/>
        </w:rPr>
        <w:t xml:space="preserve"> </w:t>
      </w:r>
      <w:r>
        <w:rPr>
          <w:rFonts w:eastAsia="Times New Roman" w:cs="Calibri"/>
          <w:b/>
          <w:bCs/>
          <w:sz w:val="28"/>
          <w:szCs w:val="28"/>
          <w:lang w:eastAsia="en-GB"/>
        </w:rPr>
        <w:t>- Definitions for Identification</w:t>
      </w:r>
    </w:p>
    <w:p w:rsidR="00756622" w:rsidRDefault="00756622">
      <w:pPr>
        <w:pStyle w:val="ListParagraph"/>
        <w:shd w:val="clear" w:color="auto" w:fill="FFFFFF"/>
        <w:spacing w:after="120" w:line="240" w:lineRule="auto"/>
        <w:ind w:left="426"/>
        <w:outlineLvl w:val="2"/>
        <w:rPr>
          <w:rFonts w:asciiTheme="minorHAnsi" w:eastAsia="Times New Roman" w:hAnsiTheme="minorHAnsi" w:cstheme="minorHAnsi"/>
          <w:b/>
          <w:bCs/>
          <w:sz w:val="24"/>
          <w:szCs w:val="24"/>
          <w:lang w:eastAsia="en-GB"/>
        </w:rPr>
      </w:pPr>
    </w:p>
    <w:p w:rsidR="00756622" w:rsidRDefault="00E414CC">
      <w:pPr>
        <w:rPr>
          <w:rFonts w:cs="Calibri"/>
        </w:rPr>
      </w:pPr>
      <w:r>
        <w:rPr>
          <w:rFonts w:cs="Calibri"/>
        </w:rPr>
        <w:t xml:space="preserve">A </w:t>
      </w:r>
      <w:r>
        <w:rPr>
          <w:rFonts w:cs="Calibri"/>
          <w:b/>
          <w:bCs/>
        </w:rPr>
        <w:t>gifted</w:t>
      </w:r>
      <w:r>
        <w:rPr>
          <w:rFonts w:cs="Calibri"/>
        </w:rPr>
        <w:t xml:space="preserve"> student is one who demonstrates a higher level of ability than most students in their </w:t>
      </w:r>
      <w:r>
        <w:rPr>
          <w:rFonts w:asciiTheme="minorHAnsi" w:hAnsiTheme="minorHAnsi" w:cstheme="minorHAnsi"/>
        </w:rPr>
        <w:t>cohort</w:t>
      </w:r>
      <w:r>
        <w:rPr>
          <w:rFonts w:cs="Calibri"/>
        </w:rPr>
        <w:t xml:space="preserve"> in one or more </w:t>
      </w:r>
      <w:r w:rsidR="006C3827">
        <w:rPr>
          <w:rFonts w:cs="Calibri"/>
        </w:rPr>
        <w:t xml:space="preserve">‘academic’ </w:t>
      </w:r>
      <w:r>
        <w:rPr>
          <w:rFonts w:cs="Calibri"/>
        </w:rPr>
        <w:t xml:space="preserve">curriculum </w:t>
      </w:r>
      <w:r w:rsidR="006C3827">
        <w:rPr>
          <w:rFonts w:cs="Calibri"/>
        </w:rPr>
        <w:t>areas (i.e. subjects with high levels of literacy and/or numeracy content).</w:t>
      </w:r>
      <w:r>
        <w:rPr>
          <w:rFonts w:cs="Calibri"/>
        </w:rPr>
        <w:t xml:space="preserve"> </w:t>
      </w:r>
      <w:r>
        <w:rPr>
          <w:rFonts w:asciiTheme="minorHAnsi" w:hAnsiTheme="minorHAnsi" w:cstheme="minorHAnsi"/>
        </w:rPr>
        <w:t>LA guidelines suggest that the ‘gifted’ cohort should represent approximately 7% of the year group.</w:t>
      </w:r>
    </w:p>
    <w:p w:rsidR="00756622" w:rsidRDefault="00E414CC">
      <w:pPr>
        <w:rPr>
          <w:rFonts w:asciiTheme="minorHAnsi" w:hAnsiTheme="minorHAnsi" w:cstheme="minorHAnsi"/>
        </w:rPr>
      </w:pPr>
      <w:r>
        <w:rPr>
          <w:rFonts w:cs="Calibri"/>
        </w:rPr>
        <w:t xml:space="preserve">A </w:t>
      </w:r>
      <w:r>
        <w:rPr>
          <w:rFonts w:cs="Calibri"/>
          <w:b/>
          <w:bCs/>
        </w:rPr>
        <w:t>talented</w:t>
      </w:r>
      <w:r>
        <w:rPr>
          <w:rFonts w:cs="Calibri"/>
        </w:rPr>
        <w:t xml:space="preserve"> student is one who shows marked aptitude in any of the physical, artistic, creative, musical or performance areas.</w:t>
      </w:r>
      <w:r>
        <w:rPr>
          <w:rFonts w:asciiTheme="minorHAnsi" w:hAnsiTheme="minorHAnsi" w:cstheme="minorHAnsi"/>
        </w:rPr>
        <w:t xml:space="preserve"> LA guidelines suggest that the ‘talented’ cohort should represent approximately 3% of the year group.</w:t>
      </w:r>
    </w:p>
    <w:p w:rsidR="00756622" w:rsidRDefault="006C3827">
      <w:pPr>
        <w:rPr>
          <w:rFonts w:cs="Calibri"/>
        </w:rPr>
      </w:pPr>
      <w:r>
        <w:rPr>
          <w:rFonts w:cs="Calibri"/>
        </w:rPr>
        <w:t>We define a</w:t>
      </w:r>
      <w:r w:rsidR="00E414CC">
        <w:rPr>
          <w:rFonts w:cs="Calibri"/>
        </w:rPr>
        <w:t xml:space="preserve"> </w:t>
      </w:r>
      <w:r>
        <w:rPr>
          <w:rFonts w:cs="Calibri"/>
        </w:rPr>
        <w:t>‘</w:t>
      </w:r>
      <w:r>
        <w:rPr>
          <w:rFonts w:cs="Calibri"/>
          <w:b/>
        </w:rPr>
        <w:t>generally</w:t>
      </w:r>
      <w:r w:rsidR="00E414CC">
        <w:rPr>
          <w:rFonts w:cs="Calibri"/>
          <w:b/>
        </w:rPr>
        <w:t xml:space="preserve"> able</w:t>
      </w:r>
      <w:r>
        <w:rPr>
          <w:rFonts w:cs="Calibri"/>
          <w:b/>
        </w:rPr>
        <w:t>’</w:t>
      </w:r>
      <w:r>
        <w:rPr>
          <w:rFonts w:cs="Calibri"/>
        </w:rPr>
        <w:t xml:space="preserve"> student as</w:t>
      </w:r>
      <w:r w:rsidR="00E414CC">
        <w:rPr>
          <w:rFonts w:cs="Calibri"/>
        </w:rPr>
        <w:t xml:space="preserve"> one who </w:t>
      </w:r>
      <w:r w:rsidR="00E414CC">
        <w:rPr>
          <w:rFonts w:asciiTheme="minorHAnsi" w:hAnsiTheme="minorHAnsi" w:cstheme="minorHAnsi"/>
        </w:rPr>
        <w:t>exhibits a</w:t>
      </w:r>
      <w:r w:rsidR="00E414CC">
        <w:rPr>
          <w:rFonts w:cs="Calibri"/>
        </w:rPr>
        <w:t xml:space="preserve"> higher level of ability than most students</w:t>
      </w:r>
      <w:r w:rsidR="00E414CC">
        <w:rPr>
          <w:rFonts w:asciiTheme="minorHAnsi" w:hAnsiTheme="minorHAnsi" w:cstheme="minorHAnsi"/>
        </w:rPr>
        <w:t xml:space="preserve"> in their cohort</w:t>
      </w:r>
      <w:r w:rsidR="00E414CC">
        <w:rPr>
          <w:rFonts w:cs="Calibri"/>
        </w:rPr>
        <w:t xml:space="preserve"> in a </w:t>
      </w:r>
      <w:r w:rsidR="00E414CC">
        <w:rPr>
          <w:rFonts w:cs="Calibri"/>
          <w:u w:val="single"/>
        </w:rPr>
        <w:t>wide</w:t>
      </w:r>
      <w:r w:rsidR="00E414CC">
        <w:rPr>
          <w:rFonts w:cs="Calibri"/>
        </w:rPr>
        <w:t xml:space="preserve"> range of subjects</w:t>
      </w:r>
      <w:r w:rsidR="00E414CC">
        <w:rPr>
          <w:rFonts w:asciiTheme="minorHAnsi" w:hAnsiTheme="minorHAnsi" w:cstheme="minorHAnsi"/>
        </w:rPr>
        <w:t>.</w:t>
      </w:r>
      <w:r w:rsidR="00E414CC">
        <w:rPr>
          <w:rFonts w:cs="Calibri"/>
        </w:rPr>
        <w:t xml:space="preserve"> These abilities often appear as ‘academic’</w:t>
      </w:r>
      <w:r w:rsidR="00E414CC">
        <w:rPr>
          <w:rFonts w:asciiTheme="minorHAnsi" w:hAnsiTheme="minorHAnsi" w:cstheme="minorHAnsi"/>
        </w:rPr>
        <w:t>,</w:t>
      </w:r>
      <w:r w:rsidR="00E414CC">
        <w:rPr>
          <w:rFonts w:cs="Calibri"/>
        </w:rPr>
        <w:t xml:space="preserve"> relying on confi</w:t>
      </w:r>
      <w:r w:rsidR="00E414CC">
        <w:rPr>
          <w:rFonts w:asciiTheme="minorHAnsi" w:hAnsiTheme="minorHAnsi" w:cstheme="minorHAnsi"/>
        </w:rPr>
        <w:t>dence in literacy and numeracy.</w:t>
      </w:r>
    </w:p>
    <w:p w:rsidR="00756622" w:rsidRDefault="006C3827">
      <w:pPr>
        <w:rPr>
          <w:rFonts w:asciiTheme="minorHAnsi" w:hAnsiTheme="minorHAnsi" w:cstheme="minorHAnsi"/>
          <w:iCs/>
        </w:rPr>
      </w:pPr>
      <w:r>
        <w:rPr>
          <w:rFonts w:cs="Calibri"/>
        </w:rPr>
        <w:t>We define a</w:t>
      </w:r>
      <w:r w:rsidR="00E414CC">
        <w:rPr>
          <w:rFonts w:cs="Calibri"/>
        </w:rPr>
        <w:t xml:space="preserve">n </w:t>
      </w:r>
      <w:r>
        <w:rPr>
          <w:rFonts w:cs="Calibri"/>
        </w:rPr>
        <w:t>‘</w:t>
      </w:r>
      <w:r w:rsidR="00E414CC">
        <w:rPr>
          <w:rFonts w:asciiTheme="minorHAnsi" w:hAnsiTheme="minorHAnsi" w:cstheme="minorHAnsi"/>
          <w:b/>
        </w:rPr>
        <w:t xml:space="preserve">exceptionally </w:t>
      </w:r>
      <w:r w:rsidR="00E414CC">
        <w:rPr>
          <w:rFonts w:cs="Calibri"/>
          <w:b/>
        </w:rPr>
        <w:t>able</w:t>
      </w:r>
      <w:r>
        <w:rPr>
          <w:rFonts w:cs="Calibri"/>
          <w:b/>
        </w:rPr>
        <w:t>’</w:t>
      </w:r>
      <w:r>
        <w:rPr>
          <w:rFonts w:cs="Calibri"/>
        </w:rPr>
        <w:t xml:space="preserve"> student as </w:t>
      </w:r>
      <w:r w:rsidR="00E414CC">
        <w:rPr>
          <w:rFonts w:cs="Calibri"/>
        </w:rPr>
        <w:t xml:space="preserve">one who </w:t>
      </w:r>
      <w:r w:rsidR="00E414CC">
        <w:rPr>
          <w:rFonts w:asciiTheme="minorHAnsi" w:hAnsiTheme="minorHAnsi" w:cstheme="minorHAnsi"/>
        </w:rPr>
        <w:t xml:space="preserve">exhibits </w:t>
      </w:r>
      <w:r w:rsidR="00E414CC">
        <w:rPr>
          <w:rFonts w:cs="Calibri"/>
          <w:iCs/>
        </w:rPr>
        <w:t xml:space="preserve">performance, interest and ability beyond that displayed by </w:t>
      </w:r>
      <w:r w:rsidR="00E414CC">
        <w:rPr>
          <w:rFonts w:asciiTheme="minorHAnsi" w:hAnsiTheme="minorHAnsi" w:cstheme="minorHAnsi"/>
          <w:iCs/>
        </w:rPr>
        <w:t xml:space="preserve">able, gifted or </w:t>
      </w:r>
      <w:r w:rsidR="00E414CC">
        <w:rPr>
          <w:rFonts w:cs="Calibri"/>
          <w:iCs/>
        </w:rPr>
        <w:t>talented students.</w:t>
      </w:r>
      <w:r w:rsidR="00E414CC">
        <w:rPr>
          <w:rFonts w:cs="Calibri"/>
          <w:i/>
          <w:iCs/>
        </w:rPr>
        <w:t xml:space="preserve"> </w:t>
      </w:r>
      <w:r w:rsidR="00E414CC">
        <w:rPr>
          <w:rFonts w:cs="Calibri"/>
          <w:iCs/>
        </w:rPr>
        <w:t xml:space="preserve">Guidelines suggest this cohort should be only 3% </w:t>
      </w:r>
      <w:r w:rsidR="00E414CC">
        <w:rPr>
          <w:rFonts w:cs="Calibri"/>
          <w:iCs/>
          <w:u w:val="single"/>
        </w:rPr>
        <w:t>nationally</w:t>
      </w:r>
      <w:r w:rsidR="00E414CC">
        <w:rPr>
          <w:rFonts w:cs="Calibri"/>
          <w:iCs/>
        </w:rPr>
        <w:t>. It is therefore possible that no student of exceptional ability will be</w:t>
      </w:r>
      <w:r w:rsidR="00E414CC">
        <w:rPr>
          <w:rFonts w:asciiTheme="minorHAnsi" w:hAnsiTheme="minorHAnsi" w:cstheme="minorHAnsi"/>
          <w:iCs/>
        </w:rPr>
        <w:t xml:space="preserve"> identified in a year group or key stage </w:t>
      </w:r>
      <w:r w:rsidR="00E414CC">
        <w:rPr>
          <w:rFonts w:cs="Calibri"/>
          <w:iCs/>
        </w:rPr>
        <w:t>at any one point in the school’s identification calendar.</w:t>
      </w:r>
    </w:p>
    <w:p w:rsidR="00756622" w:rsidRDefault="00E414CC" w:rsidP="006C3827">
      <w:pPr>
        <w:rPr>
          <w:rFonts w:asciiTheme="minorHAnsi" w:hAnsiTheme="minorHAnsi" w:cstheme="minorHAnsi"/>
        </w:rPr>
      </w:pPr>
      <w:r>
        <w:rPr>
          <w:rFonts w:asciiTheme="minorHAnsi" w:hAnsiTheme="minorHAnsi" w:cstheme="minorHAnsi"/>
        </w:rPr>
        <w:t xml:space="preserve">All schools are required to identify an able, gifted and talented cohort which should comprise of the top 5-10 per cent of their students. At ECS, this cohort will be made up from the students identified as ‘able’ or ‘gifted’ and ‘talented’ </w:t>
      </w:r>
      <w:r>
        <w:rPr>
          <w:rFonts w:asciiTheme="minorHAnsi" w:hAnsiTheme="minorHAnsi" w:cstheme="minorHAnsi"/>
          <w:i/>
        </w:rPr>
        <w:t>in several subjects</w:t>
      </w:r>
      <w:r w:rsidR="006C3827">
        <w:rPr>
          <w:rFonts w:asciiTheme="minorHAnsi" w:hAnsiTheme="minorHAnsi" w:cstheme="minorHAnsi"/>
        </w:rPr>
        <w:t xml:space="preserve"> – i.e. the </w:t>
      </w:r>
      <w:r w:rsidR="006C3827">
        <w:rPr>
          <w:rFonts w:cs="Calibri"/>
          <w:b/>
        </w:rPr>
        <w:t xml:space="preserve">generally able </w:t>
      </w:r>
      <w:r w:rsidR="006C3827" w:rsidRPr="006C3827">
        <w:rPr>
          <w:rFonts w:asciiTheme="minorHAnsi" w:hAnsiTheme="minorHAnsi" w:cstheme="minorHAnsi"/>
        </w:rPr>
        <w:t>and</w:t>
      </w:r>
      <w:r w:rsidR="006C3827">
        <w:rPr>
          <w:rFonts w:cs="Calibri"/>
          <w:b/>
        </w:rPr>
        <w:t xml:space="preserve"> </w:t>
      </w:r>
      <w:r w:rsidR="006C3827">
        <w:rPr>
          <w:rFonts w:asciiTheme="minorHAnsi" w:hAnsiTheme="minorHAnsi" w:cstheme="minorHAnsi"/>
          <w:b/>
        </w:rPr>
        <w:t xml:space="preserve">exceptionally </w:t>
      </w:r>
      <w:r w:rsidR="006C3827">
        <w:rPr>
          <w:rFonts w:cs="Calibri"/>
          <w:b/>
        </w:rPr>
        <w:t xml:space="preserve">able </w:t>
      </w:r>
      <w:r w:rsidR="006C3827">
        <w:rPr>
          <w:rFonts w:cs="Calibri"/>
        </w:rPr>
        <w:t xml:space="preserve">students, which together </w:t>
      </w:r>
      <w:r>
        <w:rPr>
          <w:rFonts w:asciiTheme="minorHAnsi" w:hAnsiTheme="minorHAnsi" w:cstheme="minorHAnsi"/>
        </w:rPr>
        <w:t xml:space="preserve">will be known as the </w:t>
      </w:r>
      <w:r w:rsidR="006C3827">
        <w:rPr>
          <w:rFonts w:asciiTheme="minorHAnsi" w:hAnsiTheme="minorHAnsi" w:cstheme="minorHAnsi"/>
        </w:rPr>
        <w:t>‘</w:t>
      </w:r>
      <w:r>
        <w:rPr>
          <w:rFonts w:asciiTheme="minorHAnsi" w:hAnsiTheme="minorHAnsi" w:cstheme="minorHAnsi"/>
          <w:b/>
        </w:rPr>
        <w:t>AG&amp;T tracking group</w:t>
      </w:r>
      <w:r w:rsidR="006C3827">
        <w:rPr>
          <w:rFonts w:asciiTheme="minorHAnsi" w:hAnsiTheme="minorHAnsi" w:cstheme="minorHAnsi"/>
          <w:b/>
        </w:rPr>
        <w:t>’</w:t>
      </w:r>
      <w:r>
        <w:rPr>
          <w:rFonts w:asciiTheme="minorHAnsi" w:hAnsiTheme="minorHAnsi" w:cstheme="minorHAnsi"/>
          <w:b/>
        </w:rPr>
        <w:t>.</w:t>
      </w:r>
      <w:r w:rsidR="006C3827" w:rsidRPr="006C3827">
        <w:rPr>
          <w:rFonts w:asciiTheme="minorHAnsi" w:hAnsiTheme="minorHAnsi" w:cstheme="minorHAnsi"/>
        </w:rPr>
        <w:t xml:space="preserve"> </w:t>
      </w:r>
      <w:r w:rsidR="006C3827">
        <w:rPr>
          <w:rFonts w:asciiTheme="minorHAnsi" w:hAnsiTheme="minorHAnsi" w:cstheme="minorHAnsi"/>
        </w:rPr>
        <w:t>It is important that this group is representative of the whole school population in terms of gender, ethnicity, and socio-economic background.</w:t>
      </w:r>
    </w:p>
    <w:p w:rsidR="00756622" w:rsidRDefault="00E414CC">
      <w:pPr>
        <w:rPr>
          <w:rFonts w:asciiTheme="minorHAnsi" w:hAnsiTheme="minorHAnsi" w:cstheme="minorHAnsi"/>
        </w:rPr>
      </w:pPr>
      <w:r>
        <w:rPr>
          <w:rFonts w:asciiTheme="minorHAnsi" w:hAnsiTheme="minorHAnsi" w:cstheme="minorHAnsi"/>
          <w:b/>
        </w:rPr>
        <w:t>AG&amp;T underachievers</w:t>
      </w:r>
      <w:r>
        <w:rPr>
          <w:rFonts w:asciiTheme="minorHAnsi" w:hAnsiTheme="minorHAnsi" w:cstheme="minorHAnsi"/>
        </w:rPr>
        <w:t xml:space="preserve"> are students who are failing to make the most of their </w:t>
      </w:r>
      <w:r w:rsidR="006C3827">
        <w:rPr>
          <w:rFonts w:asciiTheme="minorHAnsi" w:hAnsiTheme="minorHAnsi" w:cstheme="minorHAnsi"/>
        </w:rPr>
        <w:t>abilities and</w:t>
      </w:r>
      <w:r>
        <w:rPr>
          <w:rFonts w:asciiTheme="minorHAnsi" w:hAnsiTheme="minorHAnsi" w:cstheme="minorHAnsi"/>
        </w:rPr>
        <w:t xml:space="preserve"> capabilities. This group might include students: </w:t>
      </w:r>
    </w:p>
    <w:p w:rsidR="00756622" w:rsidRDefault="00E414CC">
      <w:pPr>
        <w:pStyle w:val="BodyText2"/>
        <w:numPr>
          <w:ilvl w:val="0"/>
          <w:numId w:val="1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in families or peer groups with a social or cultural bias against high ability and achievement;</w:t>
      </w:r>
    </w:p>
    <w:p w:rsidR="00756622" w:rsidRDefault="00E414CC">
      <w:pPr>
        <w:pStyle w:val="BodyText2"/>
        <w:numPr>
          <w:ilvl w:val="0"/>
          <w:numId w:val="1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 xml:space="preserve">with special educational needs, notably a learning disability </w:t>
      </w:r>
    </w:p>
    <w:p w:rsidR="00756622" w:rsidRDefault="00E414CC">
      <w:pPr>
        <w:pStyle w:val="BodyText2"/>
        <w:numPr>
          <w:ilvl w:val="0"/>
          <w:numId w:val="1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 xml:space="preserve">who have English as a second language </w:t>
      </w:r>
    </w:p>
    <w:p w:rsidR="00756622" w:rsidRDefault="00E414CC">
      <w:pPr>
        <w:pStyle w:val="BodyText2"/>
        <w:numPr>
          <w:ilvl w:val="0"/>
          <w:numId w:val="14"/>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 xml:space="preserve">who lack motivation or have low </w:t>
      </w:r>
      <w:proofErr w:type="spellStart"/>
      <w:r>
        <w:rPr>
          <w:rFonts w:asciiTheme="minorHAnsi" w:hAnsiTheme="minorHAnsi" w:cstheme="minorHAnsi"/>
          <w:b w:val="0"/>
          <w:bCs w:val="0"/>
          <w:sz w:val="22"/>
          <w:szCs w:val="22"/>
        </w:rPr>
        <w:t>self esteem</w:t>
      </w:r>
      <w:proofErr w:type="spellEnd"/>
      <w:r>
        <w:rPr>
          <w:rFonts w:asciiTheme="minorHAnsi" w:hAnsiTheme="minorHAnsi" w:cstheme="minorHAnsi"/>
          <w:b w:val="0"/>
          <w:bCs w:val="0"/>
          <w:sz w:val="22"/>
          <w:szCs w:val="22"/>
        </w:rPr>
        <w:t>, fear failure or will not willingly rise to the challenge</w:t>
      </w:r>
      <w:r w:rsidR="006C3827">
        <w:rPr>
          <w:rFonts w:asciiTheme="minorHAnsi" w:hAnsiTheme="minorHAnsi" w:cstheme="minorHAnsi"/>
          <w:b w:val="0"/>
          <w:bCs w:val="0"/>
          <w:sz w:val="22"/>
          <w:szCs w:val="22"/>
        </w:rPr>
        <w:t>.</w:t>
      </w: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E414CC">
      <w:pPr>
        <w:spacing w:after="0" w:line="240" w:lineRule="auto"/>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br w:type="page"/>
      </w:r>
    </w:p>
    <w:p w:rsidR="00756622" w:rsidRDefault="00E414CC">
      <w:pPr>
        <w:pStyle w:val="ListParagraph"/>
        <w:numPr>
          <w:ilvl w:val="0"/>
          <w:numId w:val="25"/>
        </w:numPr>
        <w:shd w:val="clear" w:color="auto" w:fill="FFFFFF"/>
        <w:spacing w:after="120" w:line="240" w:lineRule="auto"/>
        <w:ind w:left="426" w:hanging="426"/>
        <w:outlineLvl w:val="2"/>
        <w:rPr>
          <w:rFonts w:eastAsia="Times New Roman" w:cs="Calibri"/>
          <w:b/>
          <w:bCs/>
          <w:sz w:val="28"/>
          <w:szCs w:val="28"/>
          <w:lang w:eastAsia="en-GB"/>
        </w:rPr>
      </w:pPr>
      <w:r>
        <w:rPr>
          <w:rFonts w:eastAsia="Times New Roman" w:cs="Calibri"/>
          <w:b/>
          <w:bCs/>
          <w:sz w:val="28"/>
          <w:szCs w:val="28"/>
          <w:lang w:eastAsia="en-GB"/>
        </w:rPr>
        <w:lastRenderedPageBreak/>
        <w:t>Identification</w:t>
      </w:r>
      <w:r>
        <w:rPr>
          <w:rFonts w:asciiTheme="minorHAnsi" w:eastAsia="Times New Roman" w:hAnsiTheme="minorHAnsi" w:cstheme="minorHAnsi"/>
          <w:b/>
          <w:bCs/>
          <w:sz w:val="28"/>
          <w:szCs w:val="28"/>
          <w:lang w:eastAsia="en-GB"/>
        </w:rPr>
        <w:t xml:space="preserve"> Process</w:t>
      </w:r>
    </w:p>
    <w:p w:rsidR="00756622" w:rsidRDefault="00E414CC">
      <w:pPr>
        <w:rPr>
          <w:rFonts w:cs="Tahoma"/>
        </w:rPr>
      </w:pPr>
      <w:r>
        <w:rPr>
          <w:rFonts w:cs="Tahoma"/>
        </w:rPr>
        <w:t>The process of identifying AG&amp;T students will:</w:t>
      </w:r>
    </w:p>
    <w:p w:rsidR="00756622" w:rsidRDefault="00E414CC">
      <w:pPr>
        <w:numPr>
          <w:ilvl w:val="0"/>
          <w:numId w:val="15"/>
        </w:numPr>
        <w:spacing w:after="0" w:line="240" w:lineRule="auto"/>
        <w:rPr>
          <w:rFonts w:cs="Tahoma"/>
        </w:rPr>
      </w:pPr>
      <w:r>
        <w:rPr>
          <w:rFonts w:cs="Tahoma"/>
        </w:rPr>
        <w:t>be systematic and on-going; making use of both ‘hard’ data (e.g. SATs, CATs, exam results) and ‘soft’ data (e.g. teacher nomination, primary school records and nominations).</w:t>
      </w:r>
    </w:p>
    <w:p w:rsidR="00756622" w:rsidRDefault="00756622">
      <w:pPr>
        <w:spacing w:after="0" w:line="240" w:lineRule="auto"/>
        <w:ind w:left="720"/>
        <w:rPr>
          <w:rFonts w:cs="Tahoma"/>
        </w:rPr>
      </w:pPr>
    </w:p>
    <w:p w:rsidR="00756622" w:rsidRDefault="00E414CC">
      <w:pPr>
        <w:numPr>
          <w:ilvl w:val="1"/>
          <w:numId w:val="29"/>
        </w:numPr>
        <w:spacing w:after="0" w:line="240" w:lineRule="auto"/>
        <w:rPr>
          <w:rFonts w:cs="Tahoma"/>
        </w:rPr>
      </w:pPr>
      <w:r>
        <w:rPr>
          <w:rFonts w:cs="Tahoma"/>
        </w:rPr>
        <w:t xml:space="preserve">students with mean CATS scores of 119+ OR </w:t>
      </w:r>
      <w:proofErr w:type="spellStart"/>
      <w:r>
        <w:rPr>
          <w:rFonts w:cs="Tahoma"/>
        </w:rPr>
        <w:t>non verbal</w:t>
      </w:r>
      <w:proofErr w:type="spellEnd"/>
      <w:r>
        <w:rPr>
          <w:rFonts w:cs="Tahoma"/>
        </w:rPr>
        <w:t xml:space="preserve"> CATS scores of 125+ will be designated as ‘generally able’ students</w:t>
      </w:r>
    </w:p>
    <w:p w:rsidR="00756622" w:rsidRDefault="00756622">
      <w:pPr>
        <w:spacing w:after="0" w:line="240" w:lineRule="auto"/>
        <w:rPr>
          <w:rFonts w:cs="Tahoma"/>
        </w:rPr>
      </w:pPr>
    </w:p>
    <w:p w:rsidR="00756622" w:rsidRDefault="00E414CC">
      <w:pPr>
        <w:numPr>
          <w:ilvl w:val="1"/>
          <w:numId w:val="29"/>
        </w:numPr>
        <w:spacing w:after="0" w:line="240" w:lineRule="auto"/>
        <w:rPr>
          <w:rFonts w:cs="Tahoma"/>
        </w:rPr>
      </w:pPr>
      <w:r>
        <w:rPr>
          <w:rFonts w:cs="Tahoma"/>
        </w:rPr>
        <w:t>students with mean CATS scores of 125+ OR 127+ in two batteries will be designated as ‘exceptionally able’ students</w:t>
      </w:r>
    </w:p>
    <w:p w:rsidR="00756622" w:rsidRDefault="00756622">
      <w:pPr>
        <w:spacing w:after="0" w:line="240" w:lineRule="auto"/>
        <w:rPr>
          <w:rFonts w:cs="Tahoma"/>
        </w:rPr>
      </w:pPr>
    </w:p>
    <w:p w:rsidR="00756622" w:rsidRDefault="00E414CC">
      <w:pPr>
        <w:numPr>
          <w:ilvl w:val="1"/>
          <w:numId w:val="29"/>
        </w:numPr>
        <w:spacing w:after="0" w:line="240" w:lineRule="auto"/>
      </w:pPr>
      <w:r>
        <w:rPr>
          <w:rFonts w:cs="Tahoma"/>
        </w:rPr>
        <w:t>students with KS2 SATS results of 5b+ in English AND Maths will be designated as ‘generally able’ students. For the new Scaled Scores, these criteria become 110+ in Reading &amp; Grammar (averaged) AND Maths</w:t>
      </w:r>
    </w:p>
    <w:p w:rsidR="00756622" w:rsidRDefault="00756622">
      <w:pPr>
        <w:spacing w:after="0" w:line="240" w:lineRule="auto"/>
      </w:pPr>
    </w:p>
    <w:p w:rsidR="00756622" w:rsidRDefault="00E414CC">
      <w:pPr>
        <w:numPr>
          <w:ilvl w:val="1"/>
          <w:numId w:val="29"/>
        </w:numPr>
        <w:spacing w:after="0" w:line="240" w:lineRule="auto"/>
      </w:pPr>
      <w:r>
        <w:rPr>
          <w:rFonts w:cs="Tahoma"/>
        </w:rPr>
        <w:t xml:space="preserve">students who have been </w:t>
      </w:r>
      <w:r>
        <w:t xml:space="preserve">identified as gifted and/or talented in 5 or more </w:t>
      </w:r>
      <w:proofErr w:type="gramStart"/>
      <w:r>
        <w:t>subjects  will</w:t>
      </w:r>
      <w:proofErr w:type="gramEnd"/>
      <w:r>
        <w:t xml:space="preserve"> be designated as ‘generally able</w:t>
      </w:r>
      <w:r w:rsidR="006C3827">
        <w:t>’ students</w:t>
      </w:r>
    </w:p>
    <w:p w:rsidR="00756622" w:rsidRDefault="00756622">
      <w:pPr>
        <w:spacing w:after="0" w:line="240" w:lineRule="auto"/>
        <w:rPr>
          <w:rFonts w:cs="Tahoma"/>
        </w:rPr>
      </w:pPr>
    </w:p>
    <w:p w:rsidR="00756622" w:rsidRDefault="00E414CC">
      <w:pPr>
        <w:numPr>
          <w:ilvl w:val="0"/>
          <w:numId w:val="15"/>
        </w:numPr>
        <w:spacing w:after="0" w:line="240" w:lineRule="auto"/>
        <w:rPr>
          <w:rFonts w:cs="Tahoma"/>
          <w:b/>
        </w:rPr>
      </w:pPr>
      <w:r>
        <w:rPr>
          <w:rFonts w:cs="Tahoma"/>
          <w:b/>
        </w:rPr>
        <w:t xml:space="preserve">produce a curriculum-wide ‘AG&amp;T Tracking Group’ of ‘generally able’ </w:t>
      </w:r>
      <w:r w:rsidR="006867D3">
        <w:rPr>
          <w:rFonts w:cs="Tahoma"/>
          <w:b/>
        </w:rPr>
        <w:t xml:space="preserve">and </w:t>
      </w:r>
      <w:r w:rsidR="006867D3" w:rsidRPr="006867D3">
        <w:rPr>
          <w:rFonts w:cs="Tahoma"/>
          <w:b/>
        </w:rPr>
        <w:t>‘exceptionally able’</w:t>
      </w:r>
      <w:r w:rsidR="006867D3">
        <w:rPr>
          <w:rFonts w:cs="Tahoma"/>
        </w:rPr>
        <w:t xml:space="preserve"> </w:t>
      </w:r>
      <w:r>
        <w:rPr>
          <w:rFonts w:cs="Tahoma"/>
          <w:b/>
        </w:rPr>
        <w:t xml:space="preserve">students, consisting of approximately 10% of each year group. </w:t>
      </w:r>
    </w:p>
    <w:p w:rsidR="00756622" w:rsidRDefault="00756622">
      <w:pPr>
        <w:spacing w:after="0" w:line="240" w:lineRule="auto"/>
        <w:ind w:left="360"/>
        <w:rPr>
          <w:rFonts w:cs="Tahoma"/>
          <w:b/>
        </w:rPr>
      </w:pPr>
    </w:p>
    <w:p w:rsidR="00756622" w:rsidRDefault="00E414CC">
      <w:pPr>
        <w:numPr>
          <w:ilvl w:val="0"/>
          <w:numId w:val="15"/>
        </w:numPr>
        <w:spacing w:after="0" w:line="240" w:lineRule="auto"/>
        <w:rPr>
          <w:rFonts w:cs="Tahoma"/>
        </w:rPr>
      </w:pPr>
      <w:r>
        <w:rPr>
          <w:rFonts w:cs="Tahoma"/>
        </w:rPr>
        <w:t>produce AG&amp;T lists and information available for teachers to access on SIMS</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 xml:space="preserve">involve each faculty/subject in nominating approximately 10% of each year group. </w:t>
      </w:r>
      <w:proofErr w:type="gramStart"/>
      <w:r>
        <w:rPr>
          <w:rFonts w:cs="Tahoma"/>
        </w:rPr>
        <w:t>However</w:t>
      </w:r>
      <w:proofErr w:type="gramEnd"/>
      <w:r>
        <w:rPr>
          <w:rFonts w:cs="Tahoma"/>
        </w:rPr>
        <w:t xml:space="preserve"> this figure will be responsive to changing cohorts.</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 xml:space="preserve">require the </w:t>
      </w:r>
      <w:proofErr w:type="spellStart"/>
      <w:r>
        <w:rPr>
          <w:rFonts w:cs="Tahoma"/>
        </w:rPr>
        <w:t>HoF</w:t>
      </w:r>
      <w:proofErr w:type="spellEnd"/>
      <w:r>
        <w:rPr>
          <w:rFonts w:cs="Tahoma"/>
        </w:rPr>
        <w:t xml:space="preserve"> </w:t>
      </w:r>
      <w:r w:rsidR="006867D3">
        <w:rPr>
          <w:rFonts w:cs="Tahoma"/>
        </w:rPr>
        <w:t xml:space="preserve">(or nominated subject AG&amp;T coordinator) </w:t>
      </w:r>
      <w:r>
        <w:rPr>
          <w:rFonts w:cs="Tahoma"/>
        </w:rPr>
        <w:t>to be responsible for ensuring that the appropriate number of students is nominated and that all teachers participate in the nomination process and are aware of the outcome of that process.</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result in students nominated as AG&amp;T in a particular subject being considered for activities within the department e.g. workshops visits or additional classes</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take account of students who under perform in test situations but whose performance in lessons suggests inclusion to be appropriate. Students who have performed well in tests will not be removed from the tracking group even if classroom performance does not match the levels of ability suggested by test data. Both these groups will be regarded as potential ‘AG&amp;T underachievers’ and tracked accordingly.</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ensure students nominated by a faculty/subject, but not in the AG&amp;T tracking group, will always</w:t>
      </w:r>
      <w:r>
        <w:rPr>
          <w:rFonts w:ascii="Tahoma" w:hAnsi="Tahoma" w:cs="Tahoma"/>
        </w:rPr>
        <w:t xml:space="preserve"> </w:t>
      </w:r>
      <w:r>
        <w:rPr>
          <w:rFonts w:cs="Tahoma"/>
        </w:rPr>
        <w:t>be</w:t>
      </w:r>
      <w:r>
        <w:rPr>
          <w:rFonts w:ascii="Tahoma" w:hAnsi="Tahoma" w:cs="Tahoma"/>
        </w:rPr>
        <w:t xml:space="preserve"> </w:t>
      </w:r>
      <w:r>
        <w:rPr>
          <w:rFonts w:cs="Tahoma"/>
        </w:rPr>
        <w:t>considered for extension and enrichment activities in that subject.</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cs="Tahoma"/>
        </w:rPr>
        <w:t xml:space="preserve">consider students who are particularly socially or emotionally gifted, or those with particular leadership qualities. nominated by form tutors and </w:t>
      </w:r>
      <w:r w:rsidR="00711A68">
        <w:rPr>
          <w:rFonts w:cs="Tahoma"/>
        </w:rPr>
        <w:t>PL</w:t>
      </w:r>
      <w:r>
        <w:rPr>
          <w:rFonts w:cs="Tahoma"/>
        </w:rPr>
        <w:t>.</w:t>
      </w:r>
    </w:p>
    <w:p w:rsidR="00756622" w:rsidRDefault="00756622">
      <w:pPr>
        <w:spacing w:after="0" w:line="240" w:lineRule="auto"/>
        <w:rPr>
          <w:rFonts w:cs="Tahoma"/>
        </w:rPr>
      </w:pPr>
    </w:p>
    <w:p w:rsidR="00756622" w:rsidRDefault="00E414CC">
      <w:pPr>
        <w:numPr>
          <w:ilvl w:val="0"/>
          <w:numId w:val="15"/>
        </w:numPr>
        <w:spacing w:after="0" w:line="240" w:lineRule="auto"/>
        <w:rPr>
          <w:rFonts w:cs="Tahoma"/>
        </w:rPr>
      </w:pPr>
      <w:r>
        <w:rPr>
          <w:rFonts w:asciiTheme="minorHAnsi" w:hAnsiTheme="minorHAnsi" w:cstheme="minorHAnsi"/>
        </w:rPr>
        <w:t>Ensure that nominations are representative of the whole school population in terms of gender, ethnicity, and socio-economic background.</w:t>
      </w:r>
    </w:p>
    <w:p w:rsidR="00756622" w:rsidRDefault="00756622">
      <w:pPr>
        <w:spacing w:after="0" w:line="240" w:lineRule="auto"/>
        <w:rPr>
          <w:rFonts w:cs="Tahoma"/>
        </w:rPr>
      </w:pPr>
    </w:p>
    <w:p w:rsidR="00756622" w:rsidRDefault="00E414CC">
      <w:pPr>
        <w:numPr>
          <w:ilvl w:val="0"/>
          <w:numId w:val="15"/>
        </w:numPr>
        <w:spacing w:after="0" w:line="240" w:lineRule="auto"/>
        <w:rPr>
          <w:rFonts w:cs="Calibri"/>
        </w:rPr>
      </w:pPr>
      <w:r>
        <w:rPr>
          <w:rFonts w:asciiTheme="minorHAnsi" w:hAnsiTheme="minorHAnsi" w:cstheme="minorHAnsi"/>
        </w:rPr>
        <w:t xml:space="preserve">consider parental contributions; parents </w:t>
      </w:r>
      <w:r>
        <w:rPr>
          <w:rFonts w:cs="Calibri"/>
        </w:rPr>
        <w:t>will be asked to profile their children’s strengths and to alert us to any out of school activities or interest which might qualify the child as AG</w:t>
      </w:r>
      <w:r>
        <w:rPr>
          <w:rFonts w:asciiTheme="minorHAnsi" w:hAnsiTheme="minorHAnsi" w:cstheme="minorHAnsi"/>
        </w:rPr>
        <w:t>&amp;</w:t>
      </w:r>
      <w:r>
        <w:rPr>
          <w:rFonts w:cs="Calibri"/>
        </w:rPr>
        <w:t>T.</w:t>
      </w:r>
    </w:p>
    <w:p w:rsidR="00756622" w:rsidRDefault="00756622">
      <w:pPr>
        <w:spacing w:after="0" w:line="240" w:lineRule="auto"/>
        <w:rPr>
          <w:rFonts w:cs="Calibri"/>
        </w:rPr>
      </w:pPr>
    </w:p>
    <w:p w:rsidR="00756622" w:rsidRDefault="00E414CC">
      <w:pPr>
        <w:pStyle w:val="ListParagraph"/>
        <w:numPr>
          <w:ilvl w:val="0"/>
          <w:numId w:val="25"/>
        </w:numPr>
        <w:shd w:val="clear" w:color="auto" w:fill="FFFFFF"/>
        <w:spacing w:after="120" w:line="240" w:lineRule="auto"/>
        <w:ind w:left="426" w:hanging="426"/>
        <w:outlineLvl w:val="2"/>
        <w:rPr>
          <w:rFonts w:asciiTheme="minorHAnsi" w:eastAsia="Times New Roman" w:hAnsiTheme="minorHAnsi" w:cstheme="minorHAnsi"/>
          <w:b/>
          <w:bCs/>
          <w:sz w:val="28"/>
          <w:szCs w:val="28"/>
          <w:lang w:eastAsia="en-GB"/>
        </w:rPr>
      </w:pPr>
      <w:r>
        <w:rPr>
          <w:rFonts w:asciiTheme="minorHAnsi" w:eastAsia="Times New Roman" w:hAnsiTheme="minorHAnsi" w:cstheme="minorHAnsi"/>
          <w:b/>
          <w:bCs/>
          <w:sz w:val="28"/>
          <w:szCs w:val="28"/>
          <w:lang w:eastAsia="en-GB"/>
        </w:rPr>
        <w:lastRenderedPageBreak/>
        <w:t>Provision - overview</w:t>
      </w:r>
    </w:p>
    <w:p w:rsidR="00756622" w:rsidRDefault="00756622">
      <w:pPr>
        <w:shd w:val="clear" w:color="auto" w:fill="FFFFFF"/>
        <w:spacing w:after="120" w:line="240" w:lineRule="auto"/>
        <w:jc w:val="both"/>
        <w:outlineLvl w:val="2"/>
        <w:rPr>
          <w:rFonts w:cs="Tahoma"/>
        </w:rPr>
      </w:pPr>
    </w:p>
    <w:p w:rsidR="00756622" w:rsidRDefault="00E414CC">
      <w:pPr>
        <w:shd w:val="clear" w:color="auto" w:fill="FFFFFF"/>
        <w:spacing w:after="120" w:line="240" w:lineRule="auto"/>
        <w:jc w:val="both"/>
        <w:outlineLvl w:val="2"/>
        <w:rPr>
          <w:rFonts w:asciiTheme="minorHAnsi" w:eastAsia="Times New Roman" w:hAnsiTheme="minorHAnsi" w:cstheme="minorHAnsi"/>
          <w:bCs/>
          <w:lang w:eastAsia="en-GB"/>
        </w:rPr>
      </w:pPr>
      <w:r>
        <w:rPr>
          <w:rFonts w:cs="Tahoma"/>
        </w:rPr>
        <w:t>Provision will be delivered in three ‘waves’. Heads of Faculty will coordinate the production of Provision Statements detailing the provision in Waves 1 and 2 in each subject within their faculty.</w:t>
      </w: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E414CC">
      <w:pPr>
        <w:shd w:val="clear" w:color="auto" w:fill="FFFFFF"/>
        <w:spacing w:after="120" w:line="240" w:lineRule="auto"/>
        <w:jc w:val="both"/>
        <w:outlineLvl w:val="2"/>
        <w:rPr>
          <w:rFonts w:asciiTheme="minorHAnsi" w:eastAsia="Times New Roman" w:hAnsiTheme="minorHAnsi" w:cstheme="minorHAnsi"/>
          <w:bCs/>
          <w:sz w:val="24"/>
          <w:szCs w:val="24"/>
          <w:lang w:eastAsia="en-GB"/>
        </w:rPr>
      </w:pPr>
      <w:r>
        <w:rPr>
          <w:rFonts w:asciiTheme="minorHAnsi" w:eastAsia="Times New Roman" w:hAnsiTheme="minorHAnsi" w:cstheme="minorHAnsi"/>
          <w:bCs/>
          <w:noProof/>
          <w:sz w:val="24"/>
          <w:szCs w:val="24"/>
          <w:lang w:eastAsia="en-GB"/>
        </w:rPr>
        <w:drawing>
          <wp:anchor distT="0" distB="0" distL="114300" distR="114300" simplePos="0" relativeHeight="251658240" behindDoc="0" locked="0" layoutInCell="1" allowOverlap="1">
            <wp:simplePos x="0" y="0"/>
            <wp:positionH relativeFrom="column">
              <wp:posOffset>66711</wp:posOffset>
            </wp:positionH>
            <wp:positionV relativeFrom="paragraph">
              <wp:posOffset>11322</wp:posOffset>
            </wp:positionV>
            <wp:extent cx="6140210" cy="7203057"/>
            <wp:effectExtent l="0" t="0" r="13335" b="17145"/>
            <wp:wrapNone/>
            <wp:docPr id="2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756622">
      <w:pPr>
        <w:shd w:val="clear" w:color="auto" w:fill="FFFFFF"/>
        <w:spacing w:after="120" w:line="240" w:lineRule="auto"/>
        <w:jc w:val="both"/>
        <w:outlineLvl w:val="2"/>
        <w:rPr>
          <w:rFonts w:asciiTheme="minorHAnsi" w:eastAsia="Times New Roman" w:hAnsiTheme="minorHAnsi" w:cstheme="minorHAnsi"/>
          <w:bCs/>
          <w:sz w:val="24"/>
          <w:szCs w:val="24"/>
          <w:lang w:eastAsia="en-GB"/>
        </w:rPr>
      </w:pPr>
    </w:p>
    <w:p w:rsidR="00756622" w:rsidRDefault="00E414C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756622" w:rsidRDefault="00E414CC">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lastRenderedPageBreak/>
        <w:t>Provision - within the curriculum (Wave 1)</w:t>
      </w:r>
    </w:p>
    <w:p w:rsidR="00756622" w:rsidRDefault="00E414CC">
      <w:pPr>
        <w:shd w:val="clear" w:color="auto" w:fill="FFFFFF"/>
        <w:spacing w:after="120" w:line="240" w:lineRule="auto"/>
        <w:outlineLvl w:val="2"/>
        <w:rPr>
          <w:rFonts w:cs="Tahoma"/>
        </w:rPr>
      </w:pPr>
      <w:r>
        <w:rPr>
          <w:rFonts w:cs="Tahoma"/>
        </w:rPr>
        <w:t>The school and its teachers will provide a challenging and enriched curriculum to enable the gifts and talents of students to emerge, be recognised and developed.  We will have high expectations of students.  Students will, in turn, support teachers by being active participants in lessons.  Students must take responsibility for their own learning and take the initiative, where possible.</w:t>
      </w:r>
    </w:p>
    <w:p w:rsidR="00756622" w:rsidRDefault="00E414CC">
      <w:pPr>
        <w:shd w:val="clear" w:color="auto" w:fill="FFFFFF"/>
        <w:spacing w:after="120" w:line="240" w:lineRule="auto"/>
        <w:outlineLvl w:val="2"/>
        <w:rPr>
          <w:rFonts w:cs="Tahoma"/>
        </w:rPr>
      </w:pPr>
      <w:r>
        <w:rPr>
          <w:rFonts w:cs="Tahoma"/>
        </w:rPr>
        <w:t>The emphasis will be on increasing the ‘depth and breadth’ of the curriculum for AG&amp;T students rather than providing an accelerated curriculum.</w:t>
      </w:r>
    </w:p>
    <w:p w:rsidR="00756622" w:rsidRDefault="00756622">
      <w:pPr>
        <w:shd w:val="clear" w:color="auto" w:fill="FFFFFF"/>
        <w:spacing w:after="120" w:line="240" w:lineRule="auto"/>
        <w:outlineLvl w:val="2"/>
        <w:rPr>
          <w:rFonts w:asciiTheme="minorHAnsi" w:hAnsiTheme="minorHAnsi" w:cstheme="minorHAnsi"/>
          <w:b/>
          <w:sz w:val="24"/>
          <w:szCs w:val="24"/>
        </w:rPr>
      </w:pPr>
    </w:p>
    <w:p w:rsidR="00756622" w:rsidRDefault="00E414CC">
      <w:pPr>
        <w:shd w:val="clear" w:color="auto" w:fill="FFFFFF"/>
        <w:spacing w:after="120" w:line="240" w:lineRule="auto"/>
        <w:outlineLvl w:val="2"/>
        <w:rPr>
          <w:rFonts w:asciiTheme="minorHAnsi" w:hAnsiTheme="minorHAnsi" w:cstheme="minorHAnsi"/>
          <w:b/>
        </w:rPr>
      </w:pPr>
      <w:r>
        <w:rPr>
          <w:rFonts w:asciiTheme="minorHAnsi" w:hAnsiTheme="minorHAnsi" w:cstheme="minorHAnsi"/>
          <w:b/>
        </w:rPr>
        <w:t>The curriculum model:</w:t>
      </w:r>
    </w:p>
    <w:p w:rsidR="00756622" w:rsidRDefault="00E414CC">
      <w:pPr>
        <w:shd w:val="clear" w:color="auto" w:fill="FFFFFF"/>
        <w:spacing w:after="120" w:line="240" w:lineRule="auto"/>
        <w:outlineLvl w:val="2"/>
        <w:rPr>
          <w:rFonts w:asciiTheme="minorHAnsi" w:hAnsiTheme="minorHAnsi" w:cstheme="minorHAnsi"/>
          <w:b/>
          <w:sz w:val="28"/>
          <w:szCs w:val="28"/>
        </w:rPr>
      </w:pPr>
      <w:r>
        <w:rPr>
          <w:rFonts w:cs="Tahoma"/>
        </w:rPr>
        <w:t xml:space="preserve">Setting and streaming is used to target provision appropriately. Sets and streams are regularly reviewed and students are able to move between sets / streams at particular times of the year, depending upon performance.  </w:t>
      </w:r>
    </w:p>
    <w:p w:rsidR="00756622" w:rsidRDefault="00E414CC">
      <w:pPr>
        <w:pStyle w:val="ListParagraph"/>
        <w:numPr>
          <w:ilvl w:val="0"/>
          <w:numId w:val="28"/>
        </w:numPr>
        <w:spacing w:after="0" w:line="240" w:lineRule="auto"/>
        <w:rPr>
          <w:rFonts w:cs="Tahoma"/>
          <w:b/>
        </w:rPr>
      </w:pPr>
      <w:r>
        <w:rPr>
          <w:rFonts w:cs="Tahoma"/>
          <w:b/>
        </w:rPr>
        <w:t xml:space="preserve">At Key Stage 3: </w:t>
      </w:r>
      <w:r>
        <w:rPr>
          <w:rFonts w:cs="Tahoma"/>
        </w:rPr>
        <w:t xml:space="preserve">(Years 7 &amp; 8): will be streamed, with students identified as the </w:t>
      </w:r>
      <w:proofErr w:type="gramStart"/>
      <w:r>
        <w:rPr>
          <w:rFonts w:cs="Tahoma"/>
        </w:rPr>
        <w:t>most able</w:t>
      </w:r>
      <w:proofErr w:type="gramEnd"/>
      <w:r>
        <w:rPr>
          <w:rFonts w:cs="Tahoma"/>
        </w:rPr>
        <w:t xml:space="preserve"> (identified using CATS and KS2 SATS results and additional data from primary schools) being taught all subjects in a single class on each campus in each year (7BA, 7CA, 8BA, 8CA). English, Maths and Science will be broadly set according to ability into 3 groups (once KS2 and CATS data are available in September) in each of the four timetabled bands (</w:t>
      </w:r>
      <w:proofErr w:type="spellStart"/>
      <w:proofErr w:type="gramStart"/>
      <w:r>
        <w:rPr>
          <w:rFonts w:cs="Tahoma"/>
        </w:rPr>
        <w:t>u,v</w:t>
      </w:r>
      <w:proofErr w:type="spellEnd"/>
      <w:proofErr w:type="gramEnd"/>
      <w:r>
        <w:rPr>
          <w:rFonts w:cs="Tahoma"/>
        </w:rPr>
        <w:t>, x and y).</w:t>
      </w:r>
    </w:p>
    <w:p w:rsidR="00756622" w:rsidRDefault="00756622">
      <w:pPr>
        <w:spacing w:after="0" w:line="240" w:lineRule="auto"/>
        <w:rPr>
          <w:rFonts w:cs="Tahoma"/>
          <w:b/>
        </w:rPr>
      </w:pPr>
    </w:p>
    <w:p w:rsidR="00756622" w:rsidRDefault="00E414CC">
      <w:pPr>
        <w:pStyle w:val="ListParagraph"/>
        <w:numPr>
          <w:ilvl w:val="0"/>
          <w:numId w:val="28"/>
        </w:numPr>
        <w:spacing w:after="0" w:line="240" w:lineRule="auto"/>
        <w:rPr>
          <w:rFonts w:cs="Tahoma"/>
          <w:b/>
        </w:rPr>
      </w:pPr>
      <w:r>
        <w:rPr>
          <w:rFonts w:cs="Tahoma"/>
          <w:b/>
        </w:rPr>
        <w:t xml:space="preserve">At Key Stage 4: </w:t>
      </w:r>
      <w:r>
        <w:rPr>
          <w:rFonts w:cs="Tahoma"/>
        </w:rPr>
        <w:t xml:space="preserve">English, Maths and Science will be set according to ability into 6 groups (using KS2 and KS3 data) on each campus. AG&amp;T students will receive IAG promoting appropriate option choices on an individual basis, emphasising </w:t>
      </w:r>
      <w:proofErr w:type="spellStart"/>
      <w:r>
        <w:rPr>
          <w:rFonts w:cs="Tahoma"/>
        </w:rPr>
        <w:t>EBacc</w:t>
      </w:r>
      <w:proofErr w:type="spellEnd"/>
      <w:r>
        <w:rPr>
          <w:rFonts w:cs="Tahoma"/>
        </w:rPr>
        <w:t xml:space="preserve"> combinations of subjects. Where two groups of a subject are taught in the same option block, these will be broadly set into upper and lower groups.</w:t>
      </w:r>
    </w:p>
    <w:p w:rsidR="00756622" w:rsidRDefault="00756622">
      <w:pPr>
        <w:spacing w:after="0" w:line="240" w:lineRule="auto"/>
        <w:rPr>
          <w:rFonts w:cs="Tahoma"/>
          <w:b/>
        </w:rPr>
      </w:pPr>
    </w:p>
    <w:p w:rsidR="00756622" w:rsidRDefault="00E414CC">
      <w:pPr>
        <w:pStyle w:val="ListParagraph"/>
        <w:numPr>
          <w:ilvl w:val="0"/>
          <w:numId w:val="28"/>
        </w:numPr>
        <w:spacing w:after="0" w:line="240" w:lineRule="auto"/>
        <w:rPr>
          <w:rFonts w:cs="Tahoma"/>
          <w:b/>
        </w:rPr>
      </w:pPr>
      <w:r>
        <w:rPr>
          <w:rFonts w:cs="Tahoma"/>
          <w:b/>
        </w:rPr>
        <w:t xml:space="preserve">At Key Stage 5: </w:t>
      </w:r>
      <w:r>
        <w:rPr>
          <w:rFonts w:cs="Tahoma"/>
        </w:rPr>
        <w:t xml:space="preserve">The Level 3 option blocks are arranged to ensure a wide range of subject combinations. AG&amp;T students will receive IAG promoting appropriate option choices on an individual basis, </w:t>
      </w:r>
      <w:r w:rsidR="008B30FA">
        <w:rPr>
          <w:rFonts w:cs="Tahoma"/>
        </w:rPr>
        <w:t>promoting</w:t>
      </w:r>
      <w:r>
        <w:rPr>
          <w:rFonts w:cs="Tahoma"/>
        </w:rPr>
        <w:t xml:space="preserve"> four A</w:t>
      </w:r>
      <w:r w:rsidR="008B30FA">
        <w:rPr>
          <w:rFonts w:cs="Tahoma"/>
        </w:rPr>
        <w:t xml:space="preserve"> Level courses where appropriate</w:t>
      </w:r>
      <w:r>
        <w:rPr>
          <w:rFonts w:cs="Tahoma"/>
        </w:rPr>
        <w:t xml:space="preserve">. AG&amp;T students may be advised to continue with 4 courses into Year 13. Where two groups of a subject are taught in the same option block, these </w:t>
      </w:r>
      <w:r w:rsidR="008B30FA">
        <w:rPr>
          <w:rFonts w:cs="Tahoma"/>
        </w:rPr>
        <w:t>may</w:t>
      </w:r>
      <w:r>
        <w:rPr>
          <w:rFonts w:cs="Tahoma"/>
        </w:rPr>
        <w:t xml:space="preserve"> be broadly set into upper and lower groups.</w:t>
      </w:r>
    </w:p>
    <w:p w:rsidR="00756622" w:rsidRDefault="00756622">
      <w:pPr>
        <w:spacing w:after="0" w:line="240" w:lineRule="auto"/>
        <w:rPr>
          <w:rFonts w:cs="Tahoma"/>
          <w:b/>
        </w:rPr>
      </w:pPr>
    </w:p>
    <w:p w:rsidR="00756622" w:rsidRDefault="00756622">
      <w:pPr>
        <w:shd w:val="clear" w:color="auto" w:fill="FFFFFF"/>
        <w:spacing w:after="120" w:line="240" w:lineRule="auto"/>
        <w:outlineLvl w:val="2"/>
        <w:rPr>
          <w:rFonts w:asciiTheme="minorHAnsi" w:hAnsiTheme="minorHAnsi" w:cstheme="minorHAnsi"/>
          <w:b/>
          <w:sz w:val="24"/>
          <w:szCs w:val="24"/>
        </w:rPr>
      </w:pPr>
    </w:p>
    <w:p w:rsidR="009B725B" w:rsidRDefault="009B725B">
      <w:pPr>
        <w:shd w:val="clear" w:color="auto" w:fill="FFFFFF"/>
        <w:spacing w:after="120" w:line="240" w:lineRule="auto"/>
        <w:outlineLvl w:val="2"/>
        <w:rPr>
          <w:rFonts w:asciiTheme="minorHAnsi" w:hAnsiTheme="minorHAnsi" w:cstheme="minorHAnsi"/>
          <w:b/>
          <w:sz w:val="24"/>
          <w:szCs w:val="24"/>
        </w:rPr>
      </w:pPr>
    </w:p>
    <w:p w:rsidR="00756622" w:rsidRDefault="00E414CC">
      <w:pPr>
        <w:shd w:val="clear" w:color="auto" w:fill="FFFFFF"/>
        <w:spacing w:after="120" w:line="240" w:lineRule="auto"/>
        <w:outlineLvl w:val="2"/>
        <w:rPr>
          <w:rFonts w:asciiTheme="minorHAnsi" w:hAnsiTheme="minorHAnsi" w:cstheme="minorHAnsi"/>
          <w:b/>
          <w:sz w:val="28"/>
          <w:szCs w:val="28"/>
        </w:rPr>
      </w:pPr>
      <w:r>
        <w:rPr>
          <w:rFonts w:cs="Tahoma"/>
          <w:b/>
        </w:rPr>
        <w:t>Schemes of Learning / Programmes of Study will be required to meet the following criteria:</w:t>
      </w:r>
      <w:r>
        <w:rPr>
          <w:rFonts w:asciiTheme="minorHAnsi" w:hAnsiTheme="minorHAnsi" w:cstheme="minorHAnsi"/>
          <w:b/>
          <w:sz w:val="28"/>
          <w:szCs w:val="28"/>
        </w:rPr>
        <w:t xml:space="preserve"> </w:t>
      </w:r>
    </w:p>
    <w:p w:rsidR="00756622" w:rsidRPr="009B725B" w:rsidRDefault="00E414CC">
      <w:pPr>
        <w:numPr>
          <w:ilvl w:val="0"/>
          <w:numId w:val="17"/>
        </w:numPr>
        <w:spacing w:after="0" w:line="240" w:lineRule="auto"/>
        <w:rPr>
          <w:rFonts w:cs="Tahoma"/>
          <w:bCs/>
        </w:rPr>
      </w:pPr>
      <w:r>
        <w:rPr>
          <w:rFonts w:cs="Tahoma"/>
          <w:bCs/>
        </w:rPr>
        <w:t xml:space="preserve">be written for specific teaching groups / sets </w:t>
      </w:r>
    </w:p>
    <w:p w:rsidR="00756622" w:rsidRPr="009B725B" w:rsidRDefault="00E414CC">
      <w:pPr>
        <w:numPr>
          <w:ilvl w:val="0"/>
          <w:numId w:val="17"/>
        </w:numPr>
        <w:spacing w:after="0" w:line="240" w:lineRule="auto"/>
        <w:rPr>
          <w:rFonts w:cs="Tahoma"/>
          <w:bCs/>
        </w:rPr>
      </w:pPr>
      <w:r>
        <w:rPr>
          <w:rFonts w:cs="Tahoma"/>
          <w:bCs/>
        </w:rPr>
        <w:t>provide a framework on which to build sequences of lessons tailored to specific classes of students</w:t>
      </w:r>
    </w:p>
    <w:p w:rsidR="00756622" w:rsidRPr="009B725B" w:rsidRDefault="00E414CC">
      <w:pPr>
        <w:numPr>
          <w:ilvl w:val="0"/>
          <w:numId w:val="17"/>
        </w:numPr>
        <w:spacing w:after="0" w:line="240" w:lineRule="auto"/>
        <w:rPr>
          <w:rFonts w:cs="Tahoma"/>
          <w:bCs/>
        </w:rPr>
      </w:pPr>
      <w:r>
        <w:rPr>
          <w:rFonts w:cs="Tahoma"/>
          <w:bCs/>
        </w:rPr>
        <w:t>provide a challenging programme for students of all abilities</w:t>
      </w:r>
    </w:p>
    <w:p w:rsidR="009B725B" w:rsidRPr="009B725B" w:rsidRDefault="009B725B">
      <w:pPr>
        <w:numPr>
          <w:ilvl w:val="0"/>
          <w:numId w:val="17"/>
        </w:numPr>
        <w:spacing w:after="0" w:line="240" w:lineRule="auto"/>
        <w:rPr>
          <w:rFonts w:cs="Tahoma"/>
          <w:bCs/>
        </w:rPr>
      </w:pPr>
      <w:r w:rsidRPr="009B725B">
        <w:rPr>
          <w:rFonts w:cs="Tahoma"/>
          <w:bCs/>
        </w:rPr>
        <w:t>contain challenge objectives and activities for each lesson</w:t>
      </w:r>
    </w:p>
    <w:p w:rsidR="00756622" w:rsidRPr="009B725B" w:rsidRDefault="00E414CC">
      <w:pPr>
        <w:numPr>
          <w:ilvl w:val="0"/>
          <w:numId w:val="17"/>
        </w:numPr>
        <w:spacing w:after="0" w:line="240" w:lineRule="auto"/>
        <w:rPr>
          <w:rFonts w:cs="Tahoma"/>
          <w:bCs/>
        </w:rPr>
      </w:pPr>
      <w:r>
        <w:rPr>
          <w:rFonts w:cs="Tahoma"/>
          <w:bCs/>
        </w:rPr>
        <w:t>follow National Curriculum and exam specification guidance and requirements</w:t>
      </w:r>
    </w:p>
    <w:p w:rsidR="00756622" w:rsidRPr="009B725B" w:rsidRDefault="00E414CC">
      <w:pPr>
        <w:numPr>
          <w:ilvl w:val="0"/>
          <w:numId w:val="17"/>
        </w:numPr>
        <w:spacing w:after="0" w:line="240" w:lineRule="auto"/>
        <w:rPr>
          <w:rFonts w:cs="Tahoma"/>
          <w:bCs/>
        </w:rPr>
      </w:pPr>
      <w:r>
        <w:rPr>
          <w:rFonts w:cs="Tahoma"/>
          <w:bCs/>
        </w:rPr>
        <w:t>have clearly defined learning outcomes / key objectives for each unit of work</w:t>
      </w:r>
    </w:p>
    <w:p w:rsidR="00756622" w:rsidRPr="009B725B" w:rsidRDefault="00E414CC" w:rsidP="009B725B">
      <w:pPr>
        <w:numPr>
          <w:ilvl w:val="0"/>
          <w:numId w:val="17"/>
        </w:numPr>
        <w:spacing w:after="0" w:line="240" w:lineRule="auto"/>
        <w:rPr>
          <w:rFonts w:cs="Tahoma"/>
          <w:bCs/>
        </w:rPr>
      </w:pPr>
      <w:r>
        <w:rPr>
          <w:rFonts w:cs="Tahoma"/>
          <w:bCs/>
        </w:rPr>
        <w:t>provide suggestions for differentiation and references / links to appropriate extension activities and resources.</w:t>
      </w:r>
    </w:p>
    <w:p w:rsidR="00756622" w:rsidRPr="009B725B" w:rsidRDefault="00E414CC" w:rsidP="009B725B">
      <w:pPr>
        <w:numPr>
          <w:ilvl w:val="0"/>
          <w:numId w:val="17"/>
        </w:numPr>
        <w:spacing w:after="0" w:line="240" w:lineRule="auto"/>
        <w:rPr>
          <w:rFonts w:cs="Tahoma"/>
          <w:bCs/>
        </w:rPr>
      </w:pPr>
      <w:r>
        <w:rPr>
          <w:rFonts w:cs="Tahoma"/>
          <w:bCs/>
        </w:rPr>
        <w:t>encourage a variety of teaching styles and a range of activities</w:t>
      </w:r>
    </w:p>
    <w:p w:rsidR="00756622" w:rsidRPr="009B725B" w:rsidRDefault="00E414CC">
      <w:pPr>
        <w:numPr>
          <w:ilvl w:val="0"/>
          <w:numId w:val="17"/>
        </w:numPr>
        <w:spacing w:after="0" w:line="240" w:lineRule="auto"/>
        <w:rPr>
          <w:rFonts w:cs="Tahoma"/>
          <w:bCs/>
        </w:rPr>
      </w:pPr>
      <w:r w:rsidRPr="009B725B">
        <w:rPr>
          <w:rFonts w:cs="Tahoma"/>
          <w:bCs/>
        </w:rPr>
        <w:t>include periods of review and reflection which establish the need for support or extension.</w:t>
      </w:r>
    </w:p>
    <w:p w:rsidR="00756622" w:rsidRDefault="00756622">
      <w:pPr>
        <w:shd w:val="clear" w:color="auto" w:fill="FFFFFF"/>
        <w:spacing w:after="120" w:line="240" w:lineRule="auto"/>
        <w:outlineLvl w:val="2"/>
        <w:rPr>
          <w:rFonts w:cs="Tahoma"/>
          <w:b/>
        </w:rPr>
      </w:pPr>
    </w:p>
    <w:p w:rsidR="009B725B" w:rsidRDefault="009B725B">
      <w:pPr>
        <w:shd w:val="clear" w:color="auto" w:fill="FFFFFF"/>
        <w:spacing w:after="120" w:line="240" w:lineRule="auto"/>
        <w:outlineLvl w:val="2"/>
        <w:rPr>
          <w:rFonts w:cs="Tahoma"/>
          <w:b/>
        </w:rPr>
      </w:pPr>
    </w:p>
    <w:p w:rsidR="009B725B" w:rsidRDefault="009B725B">
      <w:pPr>
        <w:shd w:val="clear" w:color="auto" w:fill="FFFFFF"/>
        <w:spacing w:after="120" w:line="240" w:lineRule="auto"/>
        <w:outlineLvl w:val="2"/>
        <w:rPr>
          <w:rFonts w:cs="Tahoma"/>
          <w:b/>
        </w:rPr>
      </w:pPr>
    </w:p>
    <w:p w:rsidR="009B725B" w:rsidRDefault="009B725B">
      <w:pPr>
        <w:shd w:val="clear" w:color="auto" w:fill="FFFFFF"/>
        <w:spacing w:after="120" w:line="240" w:lineRule="auto"/>
        <w:outlineLvl w:val="2"/>
        <w:rPr>
          <w:rFonts w:cs="Tahoma"/>
          <w:b/>
        </w:rPr>
      </w:pPr>
    </w:p>
    <w:p w:rsidR="00756622" w:rsidRDefault="00E414CC">
      <w:pPr>
        <w:shd w:val="clear" w:color="auto" w:fill="FFFFFF"/>
        <w:spacing w:after="120" w:line="240" w:lineRule="auto"/>
        <w:outlineLvl w:val="2"/>
        <w:rPr>
          <w:rFonts w:cs="Tahoma"/>
          <w:b/>
        </w:rPr>
      </w:pPr>
      <w:r>
        <w:rPr>
          <w:rFonts w:cs="Tahoma"/>
          <w:b/>
        </w:rPr>
        <w:lastRenderedPageBreak/>
        <w:t>Classroom teachers will:</w:t>
      </w:r>
    </w:p>
    <w:p w:rsidR="00756622" w:rsidRDefault="00E414CC">
      <w:pPr>
        <w:numPr>
          <w:ilvl w:val="0"/>
          <w:numId w:val="18"/>
        </w:numPr>
        <w:spacing w:after="0" w:line="240" w:lineRule="auto"/>
        <w:rPr>
          <w:rFonts w:cs="Tahoma"/>
        </w:rPr>
      </w:pPr>
      <w:r>
        <w:rPr>
          <w:rFonts w:cs="Tahoma"/>
          <w:b/>
        </w:rPr>
        <w:t>plan to ensure that able, gifted and talented students have access to the highest levels and are supported to reach at least their Target Grades; have regular discussions on how to improve further so as to achieve Challenge Grades</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plan using prior attainment data</w:t>
      </w:r>
      <w:r>
        <w:rPr>
          <w:rFonts w:cs="Tahoma"/>
        </w:rPr>
        <w:t xml:space="preserve"> (SATs, teacher assessments, etc.) and information about individual students; establish, as far as possible, the prior knowledge, understanding and skills students have</w:t>
      </w:r>
    </w:p>
    <w:p w:rsidR="00756622" w:rsidRDefault="00756622">
      <w:pPr>
        <w:spacing w:after="0" w:line="240" w:lineRule="auto"/>
        <w:ind w:left="360"/>
        <w:rPr>
          <w:rFonts w:cs="Tahoma"/>
        </w:rPr>
      </w:pPr>
    </w:p>
    <w:p w:rsidR="00756622" w:rsidRDefault="00E414CC">
      <w:pPr>
        <w:numPr>
          <w:ilvl w:val="0"/>
          <w:numId w:val="18"/>
        </w:numPr>
        <w:spacing w:after="0" w:line="240" w:lineRule="auto"/>
        <w:rPr>
          <w:rFonts w:cs="Tahoma"/>
        </w:rPr>
      </w:pPr>
      <w:r>
        <w:rPr>
          <w:rFonts w:cs="Tahoma"/>
          <w:b/>
        </w:rPr>
        <w:t>provide extension at higher levels</w:t>
      </w:r>
      <w:r>
        <w:rPr>
          <w:rFonts w:cs="Tahoma"/>
        </w:rPr>
        <w:t xml:space="preserve"> which challenges higher level thinking /critical thinking and is not repetitive.  Learning outcomes must provide further challenge, reflecting the breadth and depth of the subject, rather than just occupying students until others catch up</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value a wide range of learners' interests and learning styles</w:t>
      </w:r>
      <w:r>
        <w:rPr>
          <w:rFonts w:cs="Tahoma"/>
        </w:rPr>
        <w:t>. Targeted and open-ended questioning is used and challenge is a key factor in planning and delivery. Planning shows evidence of an awareness of good practice approaches in such areas as multiple intelligences</w:t>
      </w:r>
    </w:p>
    <w:p w:rsidR="00756622" w:rsidRDefault="00756622">
      <w:pPr>
        <w:spacing w:after="0" w:line="240" w:lineRule="auto"/>
        <w:ind w:left="360"/>
        <w:rPr>
          <w:rFonts w:cs="Tahoma"/>
        </w:rPr>
      </w:pPr>
    </w:p>
    <w:p w:rsidR="00756622" w:rsidRDefault="00E414CC">
      <w:pPr>
        <w:numPr>
          <w:ilvl w:val="0"/>
          <w:numId w:val="18"/>
        </w:numPr>
        <w:spacing w:after="0" w:line="240" w:lineRule="auto"/>
        <w:rPr>
          <w:rFonts w:cs="Tahoma"/>
        </w:rPr>
      </w:pPr>
      <w:r>
        <w:rPr>
          <w:rFonts w:cs="Tahoma"/>
          <w:b/>
        </w:rPr>
        <w:t>promote independence and autonomy</w:t>
      </w:r>
      <w:r>
        <w:rPr>
          <w:rFonts w:cs="Tahoma"/>
        </w:rPr>
        <w:t xml:space="preserve">, support learners in using their initiative; direct students towards appropriate high level resources, by providing, for example, reading lists or websites </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ensure students are able to make links</w:t>
      </w:r>
      <w:r>
        <w:rPr>
          <w:rFonts w:cs="Tahoma"/>
        </w:rPr>
        <w:t xml:space="preserve"> between one context and another without prompting.</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use a variety of resources</w:t>
      </w:r>
      <w:r>
        <w:rPr>
          <w:rFonts w:cs="Tahoma"/>
        </w:rPr>
        <w:t>, tasks and methods of assessment, including the appropriate use of ICT</w:t>
      </w:r>
    </w:p>
    <w:p w:rsidR="00756622" w:rsidRDefault="00756622">
      <w:pPr>
        <w:spacing w:after="0" w:line="240" w:lineRule="auto"/>
        <w:ind w:left="360"/>
        <w:rPr>
          <w:rFonts w:cs="Tahoma"/>
        </w:rPr>
      </w:pPr>
    </w:p>
    <w:p w:rsidR="00756622" w:rsidRDefault="00E414CC">
      <w:pPr>
        <w:numPr>
          <w:ilvl w:val="0"/>
          <w:numId w:val="18"/>
        </w:numPr>
        <w:spacing w:after="0" w:line="240" w:lineRule="auto"/>
        <w:rPr>
          <w:rFonts w:cs="Tahoma"/>
        </w:rPr>
      </w:pPr>
      <w:r>
        <w:rPr>
          <w:rFonts w:cs="Tahoma"/>
          <w:b/>
        </w:rPr>
        <w:t>engage learners in reflecting on the process of how they learn</w:t>
      </w:r>
      <w:r>
        <w:rPr>
          <w:rFonts w:cs="Tahoma"/>
        </w:rPr>
        <w:t xml:space="preserve"> and factors in making progress</w:t>
      </w:r>
    </w:p>
    <w:p w:rsidR="00756622" w:rsidRDefault="00756622">
      <w:pPr>
        <w:spacing w:after="0" w:line="240" w:lineRule="auto"/>
        <w:rPr>
          <w:rFonts w:cs="Tahoma"/>
        </w:rPr>
      </w:pPr>
    </w:p>
    <w:p w:rsidR="00756622" w:rsidRDefault="00E414CC">
      <w:pPr>
        <w:numPr>
          <w:ilvl w:val="0"/>
          <w:numId w:val="18"/>
        </w:numPr>
        <w:spacing w:after="0" w:line="240" w:lineRule="auto"/>
        <w:rPr>
          <w:rFonts w:cs="Tahoma"/>
        </w:rPr>
      </w:pPr>
      <w:r>
        <w:rPr>
          <w:rFonts w:cs="Tahoma"/>
          <w:b/>
        </w:rPr>
        <w:t>provide effective formative and summative personalised feedback</w:t>
      </w:r>
      <w:r>
        <w:rPr>
          <w:rFonts w:cs="Tahoma"/>
        </w:rPr>
        <w:t xml:space="preserve"> for all learners to support the identification and motivation of AG&amp;T </w:t>
      </w:r>
      <w:proofErr w:type="gramStart"/>
      <w:r>
        <w:rPr>
          <w:rFonts w:cs="Tahoma"/>
        </w:rPr>
        <w:t xml:space="preserve">students;  </w:t>
      </w:r>
      <w:proofErr w:type="spellStart"/>
      <w:r>
        <w:rPr>
          <w:rFonts w:cs="Tahoma"/>
        </w:rPr>
        <w:t>AfL</w:t>
      </w:r>
      <w:proofErr w:type="spellEnd"/>
      <w:proofErr w:type="gramEnd"/>
      <w:r>
        <w:rPr>
          <w:rFonts w:cs="Tahoma"/>
        </w:rPr>
        <w:t xml:space="preserve"> target-based marking used effectively, with clear directions for improvement</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instil a culture of questioning and digging deeper</w:t>
      </w:r>
      <w:r>
        <w:rPr>
          <w:rFonts w:cs="Tahoma"/>
        </w:rPr>
        <w:t xml:space="preserve"> e.g. ‘compare/contrast/predict/make judgement on’ (not just: ‘how?’ ‘what?’ ‘when?’ ‘why?’ of Bloom’s taxonomy)</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provide opportunities for learners to take the lead</w:t>
      </w:r>
      <w:r>
        <w:rPr>
          <w:rFonts w:cs="Tahoma"/>
        </w:rPr>
        <w:t>, learn independently; work on projects; make their own choices.</w:t>
      </w:r>
    </w:p>
    <w:p w:rsidR="00756622" w:rsidRDefault="00756622">
      <w:pPr>
        <w:spacing w:after="0" w:line="240" w:lineRule="auto"/>
        <w:rPr>
          <w:rFonts w:cs="Tahoma"/>
        </w:rPr>
      </w:pPr>
    </w:p>
    <w:p w:rsidR="00756622" w:rsidRDefault="00E414CC">
      <w:pPr>
        <w:numPr>
          <w:ilvl w:val="0"/>
          <w:numId w:val="18"/>
        </w:numPr>
        <w:spacing w:after="0" w:line="240" w:lineRule="auto"/>
        <w:rPr>
          <w:rFonts w:cs="Tahoma"/>
        </w:rPr>
      </w:pPr>
      <w:r>
        <w:rPr>
          <w:rFonts w:cs="Tahoma"/>
          <w:b/>
        </w:rPr>
        <w:t xml:space="preserve">provide opportunities for learners to develop </w:t>
      </w:r>
      <w:proofErr w:type="spellStart"/>
      <w:r>
        <w:rPr>
          <w:rFonts w:cs="Tahoma"/>
          <w:b/>
        </w:rPr>
        <w:t>oracy</w:t>
      </w:r>
      <w:proofErr w:type="spellEnd"/>
      <w:r>
        <w:rPr>
          <w:rFonts w:cs="Tahoma"/>
        </w:rPr>
        <w:t xml:space="preserve">; presentation skills, public speaking and debating </w:t>
      </w:r>
      <w:proofErr w:type="spellStart"/>
      <w:r>
        <w:rPr>
          <w:rFonts w:cs="Tahoma"/>
        </w:rPr>
        <w:t>skiils</w:t>
      </w:r>
      <w:proofErr w:type="spellEnd"/>
    </w:p>
    <w:p w:rsidR="00756622" w:rsidRDefault="00756622">
      <w:pPr>
        <w:spacing w:after="0" w:line="240" w:lineRule="auto"/>
        <w:rPr>
          <w:rFonts w:cs="Tahoma"/>
        </w:rPr>
      </w:pPr>
    </w:p>
    <w:p w:rsidR="00756622" w:rsidRDefault="00E414CC">
      <w:pPr>
        <w:numPr>
          <w:ilvl w:val="0"/>
          <w:numId w:val="18"/>
        </w:numPr>
        <w:spacing w:after="0" w:line="240" w:lineRule="auto"/>
        <w:rPr>
          <w:rFonts w:cs="Tahoma"/>
        </w:rPr>
      </w:pPr>
      <w:r>
        <w:rPr>
          <w:rFonts w:cs="Tahoma"/>
          <w:b/>
        </w:rPr>
        <w:t>encourage enquiry</w:t>
      </w:r>
      <w:r>
        <w:rPr>
          <w:rFonts w:cs="Tahoma"/>
        </w:rPr>
        <w:t>; students are encouraged to ask, as well as answer, questions.</w:t>
      </w:r>
    </w:p>
    <w:p w:rsidR="00756622" w:rsidRDefault="00756622">
      <w:pPr>
        <w:spacing w:after="0" w:line="240" w:lineRule="auto"/>
        <w:ind w:left="360"/>
        <w:rPr>
          <w:rFonts w:cs="Tahoma"/>
        </w:rPr>
      </w:pPr>
    </w:p>
    <w:p w:rsidR="00756622" w:rsidRDefault="00E414CC">
      <w:pPr>
        <w:numPr>
          <w:ilvl w:val="0"/>
          <w:numId w:val="18"/>
        </w:numPr>
        <w:spacing w:after="0" w:line="240" w:lineRule="auto"/>
        <w:rPr>
          <w:rFonts w:cs="Tahoma"/>
        </w:rPr>
      </w:pPr>
      <w:r>
        <w:rPr>
          <w:rFonts w:cs="Tahoma"/>
          <w:b/>
        </w:rPr>
        <w:t>Ensure self and peer assessment are integral to learning situations</w:t>
      </w:r>
      <w:r>
        <w:rPr>
          <w:rFonts w:cs="Tahoma"/>
        </w:rPr>
        <w:t>; students are encouraged to evaluate their work and suggest areas for improvement; develop skills in students for them to judge best/excellent work in a subject</w:t>
      </w:r>
    </w:p>
    <w:p w:rsidR="00756622" w:rsidRDefault="00756622">
      <w:pPr>
        <w:spacing w:after="0" w:line="240" w:lineRule="auto"/>
        <w:ind w:left="720"/>
        <w:rPr>
          <w:rFonts w:cs="Tahoma"/>
        </w:rPr>
      </w:pPr>
    </w:p>
    <w:p w:rsidR="00756622" w:rsidRDefault="00E414CC">
      <w:pPr>
        <w:numPr>
          <w:ilvl w:val="0"/>
          <w:numId w:val="18"/>
        </w:numPr>
        <w:spacing w:after="0" w:line="240" w:lineRule="auto"/>
        <w:rPr>
          <w:rFonts w:cs="Tahoma"/>
        </w:rPr>
      </w:pPr>
      <w:r>
        <w:rPr>
          <w:rFonts w:cs="Tahoma"/>
          <w:b/>
        </w:rPr>
        <w:t xml:space="preserve">use groupings within the class: </w:t>
      </w:r>
      <w:r>
        <w:rPr>
          <w:rFonts w:cs="Tahoma"/>
        </w:rPr>
        <w:t xml:space="preserve">varied and flexible grouping within lessons should be used to allow AG&amp;T students to sometimes work together and at other times take particular roles within a mixed ability group. </w:t>
      </w:r>
    </w:p>
    <w:p w:rsidR="00756622" w:rsidRDefault="00756622">
      <w:pPr>
        <w:spacing w:after="0" w:line="240" w:lineRule="auto"/>
        <w:rPr>
          <w:rFonts w:cs="Tahoma"/>
        </w:rPr>
      </w:pPr>
    </w:p>
    <w:p w:rsidR="00756622" w:rsidRDefault="00E414CC">
      <w:pPr>
        <w:numPr>
          <w:ilvl w:val="0"/>
          <w:numId w:val="18"/>
        </w:numPr>
        <w:spacing w:after="0" w:line="240" w:lineRule="auto"/>
        <w:rPr>
          <w:rFonts w:cs="Tahoma"/>
        </w:rPr>
      </w:pPr>
      <w:r>
        <w:rPr>
          <w:rFonts w:cs="Tahoma"/>
          <w:b/>
        </w:rPr>
        <w:t>set regular, differentiated homework</w:t>
      </w:r>
      <w:r>
        <w:rPr>
          <w:rFonts w:cs="Tahoma"/>
        </w:rPr>
        <w:t>; challenge and motivation are important elements in the selection of homework tasks.</w:t>
      </w:r>
    </w:p>
    <w:p w:rsidR="00756622" w:rsidRDefault="00E414CC">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lastRenderedPageBreak/>
        <w:t xml:space="preserve">Provision – </w:t>
      </w:r>
      <w:r>
        <w:rPr>
          <w:rFonts w:asciiTheme="minorHAnsi" w:hAnsiTheme="minorHAnsi" w:cstheme="minorHAnsi"/>
          <w:b/>
          <w:bCs/>
          <w:sz w:val="28"/>
          <w:szCs w:val="28"/>
        </w:rPr>
        <w:t>enrichment and enhancement (Wave 2)</w:t>
      </w:r>
    </w:p>
    <w:p w:rsidR="00756622" w:rsidRDefault="00E414CC">
      <w:pPr>
        <w:spacing w:after="0" w:line="240" w:lineRule="auto"/>
        <w:rPr>
          <w:rFonts w:cs="Tahoma"/>
        </w:rPr>
      </w:pPr>
      <w:r>
        <w:rPr>
          <w:rFonts w:cs="Tahoma"/>
        </w:rPr>
        <w:t>The school provides many extra-curricular clubs and activities, allowing for both enrichment and extension.  Sports teams, music and drama clubs and many opportunities for performance are organised.  Languages, art, maths and history clubs, reading groups and volunteering opportunities are also available.  In addition, there are competitions (in school, local and national), masterclasses, visiting speakers, conferences and student leader opportunities. Enrichment activities provide opportunities for students to work with those of different ages, but similar interests and abilities. Heads of Faculty will coordinate the production of Provision Statements detailing the provision in Waves 1 and 2 in each subject within their faculty. The school will keep and publish a detailed log of all enrichment activities.</w:t>
      </w:r>
    </w:p>
    <w:p w:rsidR="00756622" w:rsidRDefault="00E414CC">
      <w:pPr>
        <w:pStyle w:val="Heading1"/>
        <w:rPr>
          <w:rFonts w:ascii="Calibri" w:hAnsi="Calibri"/>
          <w:sz w:val="22"/>
          <w:szCs w:val="22"/>
        </w:rPr>
      </w:pPr>
      <w:r>
        <w:rPr>
          <w:rFonts w:ascii="Calibri" w:hAnsi="Calibri"/>
          <w:sz w:val="22"/>
          <w:szCs w:val="22"/>
        </w:rPr>
        <w:t>Supplementary Provision</w:t>
      </w:r>
    </w:p>
    <w:p w:rsidR="00756622" w:rsidRDefault="00E414CC">
      <w:pPr>
        <w:spacing w:after="0" w:line="240" w:lineRule="auto"/>
        <w:rPr>
          <w:rFonts w:cs="Tahoma"/>
        </w:rPr>
      </w:pPr>
      <w:r>
        <w:rPr>
          <w:rFonts w:cs="Tahoma"/>
        </w:rPr>
        <w:t>Supplementary provision will be arranged, where possible, for able, gifted and talented students to interact with their peers in specific curriculum fields at higher levels than can normally be provided.  Much of this will be organised by Faculties – see the subject-specific provision in section 11. Provision includes:</w:t>
      </w:r>
    </w:p>
    <w:p w:rsidR="00756622" w:rsidRDefault="00756622">
      <w:pPr>
        <w:spacing w:after="0" w:line="240" w:lineRule="auto"/>
        <w:rPr>
          <w:rFonts w:cs="Tahoma"/>
        </w:rPr>
      </w:pPr>
    </w:p>
    <w:p w:rsidR="00756622" w:rsidRDefault="00E414CC">
      <w:pPr>
        <w:numPr>
          <w:ilvl w:val="0"/>
          <w:numId w:val="19"/>
        </w:numPr>
        <w:spacing w:after="0" w:line="240" w:lineRule="auto"/>
        <w:rPr>
          <w:rFonts w:cs="Tahoma"/>
        </w:rPr>
      </w:pPr>
      <w:r>
        <w:rPr>
          <w:rFonts w:cs="Tahoma"/>
        </w:rPr>
        <w:t>Extra classes, targeted revision classes and workshops and language conversation opportunities within school, using bought-in expertise</w:t>
      </w:r>
    </w:p>
    <w:p w:rsidR="00756622" w:rsidRDefault="00E414CC">
      <w:pPr>
        <w:numPr>
          <w:ilvl w:val="0"/>
          <w:numId w:val="19"/>
        </w:numPr>
        <w:spacing w:after="0" w:line="240" w:lineRule="auto"/>
        <w:rPr>
          <w:rFonts w:cs="Tahoma"/>
        </w:rPr>
      </w:pPr>
      <w:r>
        <w:rPr>
          <w:rFonts w:cs="Tahoma"/>
        </w:rPr>
        <w:t xml:space="preserve">Involvement in competitions and events, e.g. music / drama performances, magistrates’ competition, Enfield Mayor’s </w:t>
      </w:r>
      <w:proofErr w:type="gramStart"/>
      <w:r>
        <w:rPr>
          <w:rFonts w:cs="Tahoma"/>
        </w:rPr>
        <w:t>Awards,  Enfield</w:t>
      </w:r>
      <w:proofErr w:type="gramEnd"/>
      <w:r>
        <w:rPr>
          <w:rFonts w:cs="Tahoma"/>
        </w:rPr>
        <w:t xml:space="preserve"> Science &amp; Technology Challenge and the UK Maths Challenge</w:t>
      </w:r>
    </w:p>
    <w:p w:rsidR="00756622" w:rsidRDefault="00E414CC">
      <w:pPr>
        <w:numPr>
          <w:ilvl w:val="0"/>
          <w:numId w:val="19"/>
        </w:numPr>
        <w:spacing w:after="0" w:line="240" w:lineRule="auto"/>
        <w:rPr>
          <w:rFonts w:cs="Tahoma"/>
        </w:rPr>
      </w:pPr>
      <w:r>
        <w:rPr>
          <w:rFonts w:cs="Tahoma"/>
        </w:rPr>
        <w:t>Arranging and paying for attendance at workshops and courses out of school, for example those organised by universities such as summer schools and masterclasses</w:t>
      </w:r>
    </w:p>
    <w:p w:rsidR="002C5E63" w:rsidRDefault="002C5E63" w:rsidP="002C5E63">
      <w:pPr>
        <w:pStyle w:val="ListParagraph"/>
        <w:numPr>
          <w:ilvl w:val="0"/>
          <w:numId w:val="19"/>
        </w:numPr>
        <w:rPr>
          <w:rFonts w:cs="Tahoma"/>
        </w:rPr>
      </w:pPr>
      <w:r w:rsidRPr="002C5E63">
        <w:rPr>
          <w:rFonts w:cs="Tahoma"/>
        </w:rPr>
        <w:t xml:space="preserve">After-school clubs to enable the </w:t>
      </w:r>
      <w:proofErr w:type="gramStart"/>
      <w:r w:rsidRPr="002C5E63">
        <w:rPr>
          <w:rFonts w:cs="Tahoma"/>
        </w:rPr>
        <w:t>most able</w:t>
      </w:r>
      <w:proofErr w:type="gramEnd"/>
      <w:r w:rsidRPr="002C5E63">
        <w:rPr>
          <w:rFonts w:cs="Tahoma"/>
        </w:rPr>
        <w:t xml:space="preserve"> students to meet each other and engage in activities designed to stretch their skills and understanding, for example STEM Club, Strategy Games Club, Art, Photography and Textiles clubs.</w:t>
      </w:r>
    </w:p>
    <w:p w:rsidR="002C5E63" w:rsidRPr="002C5E63" w:rsidRDefault="002C5E63" w:rsidP="002C5E63">
      <w:pPr>
        <w:rPr>
          <w:rFonts w:cs="Tahoma"/>
        </w:rPr>
      </w:pPr>
      <w:r>
        <w:rPr>
          <w:rFonts w:cs="Tahoma"/>
        </w:rPr>
        <w:t xml:space="preserve">Additionally, for Year 9 and 10 students the school enter approximately 20 students into the Brilliant Club programme. </w:t>
      </w:r>
      <w:r w:rsidRPr="002C5E63">
        <w:rPr>
          <w:rFonts w:cs="Tahoma"/>
        </w:rPr>
        <w:t>The Brilliant Club is an award-winning charity that exists to increase the number of pupils from under-represented backgrounds progressing to</w:t>
      </w:r>
      <w:r>
        <w:rPr>
          <w:rFonts w:cs="Tahoma"/>
        </w:rPr>
        <w:t xml:space="preserve"> highly-selective universities </w:t>
      </w:r>
      <w:r w:rsidRPr="002C5E63">
        <w:rPr>
          <w:rFonts w:cs="Tahoma"/>
        </w:rPr>
        <w:t>by mobilising the PhD community to share its academic expertise with state schools.</w:t>
      </w:r>
      <w:r>
        <w:rPr>
          <w:rFonts w:cs="Tahoma"/>
        </w:rPr>
        <w:t xml:space="preserve"> </w:t>
      </w:r>
      <w:hyperlink r:id="rId14" w:history="1">
        <w:r w:rsidRPr="000B20D1">
          <w:rPr>
            <w:rStyle w:val="Hyperlink"/>
            <w:rFonts w:cs="Tahoma"/>
          </w:rPr>
          <w:t>www.thebrilliantclub.org/</w:t>
        </w:r>
      </w:hyperlink>
      <w:r>
        <w:rPr>
          <w:rFonts w:cs="Tahoma"/>
        </w:rPr>
        <w:t xml:space="preserve"> </w:t>
      </w:r>
    </w:p>
    <w:p w:rsidR="00756622" w:rsidRDefault="00E414CC">
      <w:pPr>
        <w:numPr>
          <w:ilvl w:val="0"/>
          <w:numId w:val="20"/>
        </w:numPr>
        <w:spacing w:after="0" w:line="240" w:lineRule="auto"/>
        <w:rPr>
          <w:rFonts w:cs="Tahoma"/>
        </w:rPr>
      </w:pPr>
      <w:r>
        <w:rPr>
          <w:rFonts w:cs="Tahoma"/>
        </w:rPr>
        <w:br w:type="page"/>
      </w:r>
    </w:p>
    <w:p w:rsidR="00756622" w:rsidRDefault="00E414CC">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lastRenderedPageBreak/>
        <w:t>Provision - support for individual students (Wave 3)</w:t>
      </w:r>
    </w:p>
    <w:p w:rsidR="00756622" w:rsidRDefault="00756622">
      <w:pPr>
        <w:spacing w:after="0" w:line="240" w:lineRule="auto"/>
        <w:rPr>
          <w:rFonts w:asciiTheme="minorHAnsi" w:hAnsiTheme="minorHAnsi" w:cstheme="minorHAnsi"/>
          <w:b/>
          <w:sz w:val="24"/>
          <w:szCs w:val="24"/>
        </w:rPr>
      </w:pPr>
    </w:p>
    <w:p w:rsidR="00756622" w:rsidRDefault="00E414CC">
      <w:pPr>
        <w:spacing w:after="0" w:line="240" w:lineRule="auto"/>
        <w:rPr>
          <w:rFonts w:asciiTheme="minorHAnsi" w:hAnsiTheme="minorHAnsi" w:cstheme="minorHAnsi"/>
          <w:b/>
          <w:sz w:val="24"/>
          <w:szCs w:val="24"/>
        </w:rPr>
      </w:pPr>
      <w:r>
        <w:rPr>
          <w:rFonts w:asciiTheme="minorHAnsi" w:hAnsiTheme="minorHAnsi" w:cstheme="minorHAnsi"/>
          <w:b/>
          <w:sz w:val="24"/>
          <w:szCs w:val="24"/>
        </w:rPr>
        <w:t>Mentoring for AG&amp;T underachievers</w:t>
      </w:r>
    </w:p>
    <w:p w:rsidR="00756622" w:rsidRDefault="00756622">
      <w:pPr>
        <w:spacing w:after="0" w:line="240" w:lineRule="auto"/>
        <w:rPr>
          <w:rFonts w:asciiTheme="minorHAnsi" w:hAnsiTheme="minorHAnsi" w:cstheme="minorHAnsi"/>
          <w:b/>
          <w:sz w:val="24"/>
          <w:szCs w:val="24"/>
        </w:rPr>
      </w:pPr>
    </w:p>
    <w:p w:rsidR="00756622" w:rsidRDefault="00E414CC">
      <w:pPr>
        <w:spacing w:after="0" w:line="240" w:lineRule="auto"/>
        <w:rPr>
          <w:rFonts w:cs="Tahoma"/>
        </w:rPr>
      </w:pPr>
      <w:r>
        <w:rPr>
          <w:rFonts w:cs="Tahoma"/>
        </w:rPr>
        <w:t xml:space="preserve">AG&amp;T underachievers can be split into two categories: </w:t>
      </w:r>
    </w:p>
    <w:p w:rsidR="00756622" w:rsidRDefault="00756622">
      <w:pPr>
        <w:spacing w:after="0" w:line="240" w:lineRule="auto"/>
        <w:rPr>
          <w:rFonts w:asciiTheme="minorHAnsi" w:hAnsiTheme="minorHAnsi" w:cstheme="minorHAnsi"/>
          <w:b/>
          <w:sz w:val="24"/>
          <w:szCs w:val="24"/>
        </w:rPr>
      </w:pPr>
    </w:p>
    <w:p w:rsidR="00756622" w:rsidRDefault="00E414CC">
      <w:pPr>
        <w:numPr>
          <w:ilvl w:val="0"/>
          <w:numId w:val="22"/>
        </w:numPr>
        <w:spacing w:after="0" w:line="240" w:lineRule="auto"/>
        <w:rPr>
          <w:rFonts w:cs="Tahoma"/>
        </w:rPr>
      </w:pPr>
      <w:r>
        <w:rPr>
          <w:rFonts w:cs="Tahoma"/>
        </w:rPr>
        <w:t>students who underperform in test situations but whose performance in lessons suggests that they are ‘able’, ‘gifted’ or ‘talented’</w:t>
      </w:r>
    </w:p>
    <w:p w:rsidR="00756622" w:rsidRDefault="00756622">
      <w:pPr>
        <w:spacing w:after="0" w:line="240" w:lineRule="auto"/>
        <w:ind w:left="720"/>
        <w:rPr>
          <w:rFonts w:cs="Tahoma"/>
        </w:rPr>
      </w:pPr>
    </w:p>
    <w:p w:rsidR="00756622" w:rsidRDefault="00E414CC">
      <w:pPr>
        <w:numPr>
          <w:ilvl w:val="0"/>
          <w:numId w:val="22"/>
        </w:numPr>
        <w:spacing w:after="0" w:line="240" w:lineRule="auto"/>
        <w:rPr>
          <w:rFonts w:cs="Tahoma"/>
        </w:rPr>
      </w:pPr>
      <w:r>
        <w:rPr>
          <w:rFonts w:cs="Tahoma"/>
        </w:rPr>
        <w:t xml:space="preserve">students who have performed well in tests but whose classroom performance does not match the levels of ability suggested by the test data. </w:t>
      </w:r>
    </w:p>
    <w:p w:rsidR="00756622" w:rsidRDefault="00756622">
      <w:pPr>
        <w:spacing w:after="0" w:line="240" w:lineRule="auto"/>
        <w:rPr>
          <w:rFonts w:asciiTheme="minorHAnsi" w:hAnsiTheme="minorHAnsi" w:cstheme="minorHAnsi"/>
          <w:b/>
          <w:sz w:val="24"/>
          <w:szCs w:val="24"/>
        </w:rPr>
      </w:pPr>
    </w:p>
    <w:p w:rsidR="00756622" w:rsidRDefault="00756622">
      <w:pPr>
        <w:spacing w:after="0" w:line="240" w:lineRule="auto"/>
        <w:rPr>
          <w:rFonts w:asciiTheme="minorHAnsi" w:hAnsiTheme="minorHAnsi" w:cstheme="minorHAnsi"/>
          <w:sz w:val="24"/>
          <w:szCs w:val="24"/>
        </w:rPr>
      </w:pPr>
    </w:p>
    <w:p w:rsidR="00756622" w:rsidRDefault="00E414CC">
      <w:r>
        <w:t xml:space="preserve">The following behaviours are indicators to be used when identifying </w:t>
      </w:r>
      <w:r>
        <w:rPr>
          <w:rFonts w:cs="Tahoma"/>
        </w:rPr>
        <w:t>AG&amp;T underachievers:</w:t>
      </w:r>
    </w:p>
    <w:p w:rsidR="00756622" w:rsidRDefault="00E414CC">
      <w:pPr>
        <w:numPr>
          <w:ilvl w:val="0"/>
          <w:numId w:val="22"/>
        </w:numPr>
        <w:spacing w:after="0" w:line="240" w:lineRule="auto"/>
        <w:rPr>
          <w:rFonts w:cs="Tahoma"/>
        </w:rPr>
      </w:pPr>
      <w:r>
        <w:rPr>
          <w:rFonts w:cs="Tahoma"/>
        </w:rPr>
        <w:t>Bored and restless with flashes of brilliance or interest</w:t>
      </w:r>
    </w:p>
    <w:p w:rsidR="00756622" w:rsidRDefault="00E414CC">
      <w:pPr>
        <w:numPr>
          <w:ilvl w:val="0"/>
          <w:numId w:val="22"/>
        </w:numPr>
        <w:spacing w:after="0" w:line="240" w:lineRule="auto"/>
        <w:rPr>
          <w:rFonts w:cs="Tahoma"/>
        </w:rPr>
      </w:pPr>
      <w:r>
        <w:rPr>
          <w:rFonts w:cs="Tahoma"/>
        </w:rPr>
        <w:t>High quality oral work but poor written work and vice versa</w:t>
      </w:r>
    </w:p>
    <w:p w:rsidR="00756622" w:rsidRDefault="00E414CC">
      <w:pPr>
        <w:numPr>
          <w:ilvl w:val="0"/>
          <w:numId w:val="22"/>
        </w:numPr>
        <w:spacing w:after="0" w:line="240" w:lineRule="auto"/>
        <w:rPr>
          <w:rFonts w:cs="Tahoma"/>
        </w:rPr>
      </w:pPr>
      <w:r>
        <w:rPr>
          <w:rFonts w:cs="Tahoma"/>
        </w:rPr>
        <w:t>Poor test results but asks searching questions</w:t>
      </w:r>
    </w:p>
    <w:p w:rsidR="00756622" w:rsidRDefault="00E414CC">
      <w:pPr>
        <w:numPr>
          <w:ilvl w:val="0"/>
          <w:numId w:val="22"/>
        </w:numPr>
        <w:spacing w:after="0" w:line="240" w:lineRule="auto"/>
        <w:rPr>
          <w:rFonts w:cs="Tahoma"/>
        </w:rPr>
      </w:pPr>
      <w:r>
        <w:rPr>
          <w:rFonts w:cs="Tahoma"/>
        </w:rPr>
        <w:t>Dislike of routine work – often unfinished</w:t>
      </w:r>
    </w:p>
    <w:p w:rsidR="00756622" w:rsidRDefault="00E414CC">
      <w:pPr>
        <w:numPr>
          <w:ilvl w:val="0"/>
          <w:numId w:val="22"/>
        </w:numPr>
        <w:spacing w:after="0" w:line="240" w:lineRule="auto"/>
        <w:rPr>
          <w:rFonts w:cs="Tahoma"/>
        </w:rPr>
      </w:pPr>
      <w:r>
        <w:rPr>
          <w:rFonts w:cs="Tahoma"/>
        </w:rPr>
        <w:t>Creative interests or hobbies outside school but not reflected inside school</w:t>
      </w:r>
    </w:p>
    <w:p w:rsidR="00756622" w:rsidRDefault="00E414CC">
      <w:pPr>
        <w:numPr>
          <w:ilvl w:val="0"/>
          <w:numId w:val="22"/>
        </w:numPr>
        <w:spacing w:after="0" w:line="240" w:lineRule="auto"/>
        <w:rPr>
          <w:rFonts w:cs="Tahoma"/>
        </w:rPr>
      </w:pPr>
      <w:r>
        <w:rPr>
          <w:rFonts w:cs="Tahoma"/>
        </w:rPr>
        <w:t>Disruptive behaviour in some lessons but not in others where work is challenging</w:t>
      </w:r>
    </w:p>
    <w:p w:rsidR="00756622" w:rsidRDefault="00E414CC">
      <w:pPr>
        <w:numPr>
          <w:ilvl w:val="0"/>
          <w:numId w:val="22"/>
        </w:numPr>
        <w:spacing w:after="0" w:line="240" w:lineRule="auto"/>
        <w:rPr>
          <w:rFonts w:cs="Tahoma"/>
        </w:rPr>
      </w:pPr>
      <w:r>
        <w:rPr>
          <w:rFonts w:cs="Tahoma"/>
        </w:rPr>
        <w:t xml:space="preserve">Low </w:t>
      </w:r>
      <w:proofErr w:type="spellStart"/>
      <w:r>
        <w:rPr>
          <w:rFonts w:cs="Tahoma"/>
        </w:rPr>
        <w:t>self esteem</w:t>
      </w:r>
      <w:proofErr w:type="spellEnd"/>
      <w:r>
        <w:rPr>
          <w:rFonts w:cs="Tahoma"/>
        </w:rPr>
        <w:t xml:space="preserve"> or highly </w:t>
      </w:r>
      <w:proofErr w:type="spellStart"/>
      <w:r>
        <w:rPr>
          <w:rFonts w:cs="Tahoma"/>
        </w:rPr>
        <w:t>self critical</w:t>
      </w:r>
      <w:proofErr w:type="spellEnd"/>
    </w:p>
    <w:p w:rsidR="00756622" w:rsidRDefault="00E414CC">
      <w:pPr>
        <w:numPr>
          <w:ilvl w:val="0"/>
          <w:numId w:val="22"/>
        </w:numPr>
        <w:spacing w:after="0" w:line="240" w:lineRule="auto"/>
        <w:rPr>
          <w:rFonts w:cs="Tahoma"/>
        </w:rPr>
      </w:pPr>
      <w:r>
        <w:rPr>
          <w:rFonts w:cs="Tahoma"/>
        </w:rPr>
        <w:t>Hostile to authority and able to articulate this</w:t>
      </w:r>
    </w:p>
    <w:p w:rsidR="00756622" w:rsidRDefault="00E414CC">
      <w:pPr>
        <w:numPr>
          <w:ilvl w:val="0"/>
          <w:numId w:val="22"/>
        </w:numPr>
        <w:spacing w:after="0" w:line="240" w:lineRule="auto"/>
        <w:rPr>
          <w:rFonts w:cs="Tahoma"/>
        </w:rPr>
      </w:pPr>
      <w:r>
        <w:rPr>
          <w:rFonts w:cs="Tahoma"/>
        </w:rPr>
        <w:t>High Non Verbal CAT score but lower average CAT score</w:t>
      </w:r>
    </w:p>
    <w:p w:rsidR="00756622" w:rsidRDefault="00756622">
      <w:pPr>
        <w:spacing w:after="0" w:line="240" w:lineRule="auto"/>
        <w:rPr>
          <w:rFonts w:cs="Tahoma"/>
        </w:rPr>
      </w:pPr>
    </w:p>
    <w:p w:rsidR="00756622" w:rsidRDefault="00756622">
      <w:pPr>
        <w:spacing w:after="0" w:line="240" w:lineRule="auto"/>
        <w:rPr>
          <w:rFonts w:cs="Tahoma"/>
        </w:rPr>
      </w:pPr>
    </w:p>
    <w:p w:rsidR="00756622" w:rsidRDefault="00E414CC">
      <w:pPr>
        <w:spacing w:after="0" w:line="240" w:lineRule="auto"/>
        <w:rPr>
          <w:rFonts w:cs="Tahoma"/>
        </w:rPr>
      </w:pPr>
      <w:r>
        <w:rPr>
          <w:rFonts w:cs="Tahoma"/>
        </w:rPr>
        <w:t>All students identified as being AG&amp;T underachievers will be allocated a mentor, with parental consent, and be encouraged to start keeping a Learning Journal to record their progress, learning, experiences and reflections. The mentor will usually be a teacher with a position of responsibility in the school. However, the mentoring team needs to consist of staff with a wide range of experience, skills and subject knowledge. Therefore, all staff interested in becoming an AG&amp;T mentor will be considered, along with external mentors from local businesses and other educational institutions.</w:t>
      </w:r>
    </w:p>
    <w:p w:rsidR="00756622" w:rsidRDefault="00756622">
      <w:pPr>
        <w:spacing w:after="0" w:line="240" w:lineRule="auto"/>
        <w:rPr>
          <w:rFonts w:cs="Tahoma"/>
        </w:rPr>
      </w:pPr>
    </w:p>
    <w:p w:rsidR="00756622" w:rsidRDefault="00E414CC">
      <w:pPr>
        <w:spacing w:after="0" w:line="240" w:lineRule="auto"/>
        <w:rPr>
          <w:rFonts w:cs="Tahoma"/>
        </w:rPr>
      </w:pPr>
      <w:r>
        <w:rPr>
          <w:rFonts w:cs="Tahoma"/>
        </w:rPr>
        <w:t>The mentoring programme will consist of additional mentoring sessions (during each mentoring week) at which issue such as the following could be discussed:</w:t>
      </w:r>
    </w:p>
    <w:p w:rsidR="00756622" w:rsidRDefault="00756622">
      <w:pPr>
        <w:spacing w:after="0" w:line="240" w:lineRule="auto"/>
        <w:rPr>
          <w:rFonts w:cs="Tahoma"/>
        </w:rPr>
      </w:pPr>
    </w:p>
    <w:p w:rsidR="00756622" w:rsidRDefault="00E414CC">
      <w:pPr>
        <w:numPr>
          <w:ilvl w:val="0"/>
          <w:numId w:val="22"/>
        </w:numPr>
        <w:spacing w:after="0" w:line="240" w:lineRule="auto"/>
        <w:rPr>
          <w:rFonts w:cs="Tahoma"/>
        </w:rPr>
      </w:pPr>
      <w:r>
        <w:rPr>
          <w:rFonts w:cs="Tahoma"/>
        </w:rPr>
        <w:t>Progress and achievement</w:t>
      </w:r>
    </w:p>
    <w:p w:rsidR="00756622" w:rsidRDefault="00E414CC">
      <w:pPr>
        <w:numPr>
          <w:ilvl w:val="0"/>
          <w:numId w:val="22"/>
        </w:numPr>
        <w:spacing w:after="0" w:line="240" w:lineRule="auto"/>
        <w:rPr>
          <w:rFonts w:cs="Tahoma"/>
        </w:rPr>
      </w:pPr>
      <w:r>
        <w:rPr>
          <w:rFonts w:cs="Tahoma"/>
        </w:rPr>
        <w:t>Behaviour, effort and motivation</w:t>
      </w:r>
    </w:p>
    <w:p w:rsidR="00756622" w:rsidRDefault="00E414CC">
      <w:pPr>
        <w:numPr>
          <w:ilvl w:val="0"/>
          <w:numId w:val="22"/>
        </w:numPr>
        <w:spacing w:after="0" w:line="240" w:lineRule="auto"/>
        <w:rPr>
          <w:rFonts w:cs="Tahoma"/>
        </w:rPr>
      </w:pPr>
      <w:r>
        <w:rPr>
          <w:rFonts w:cs="Tahoma"/>
        </w:rPr>
        <w:t xml:space="preserve">Target setting </w:t>
      </w:r>
    </w:p>
    <w:p w:rsidR="00756622" w:rsidRDefault="00E414CC">
      <w:pPr>
        <w:numPr>
          <w:ilvl w:val="0"/>
          <w:numId w:val="22"/>
        </w:numPr>
        <w:spacing w:after="0" w:line="240" w:lineRule="auto"/>
        <w:rPr>
          <w:rFonts w:cs="Tahoma"/>
        </w:rPr>
      </w:pPr>
      <w:r>
        <w:rPr>
          <w:rFonts w:cs="Tahoma"/>
        </w:rPr>
        <w:t>Wider reading / cultural activities</w:t>
      </w:r>
    </w:p>
    <w:p w:rsidR="00756622" w:rsidRDefault="00E414CC">
      <w:pPr>
        <w:numPr>
          <w:ilvl w:val="0"/>
          <w:numId w:val="22"/>
        </w:numPr>
        <w:spacing w:after="0" w:line="240" w:lineRule="auto"/>
        <w:rPr>
          <w:rFonts w:cs="Tahoma"/>
        </w:rPr>
      </w:pPr>
      <w:r>
        <w:rPr>
          <w:rFonts w:cs="Tahoma"/>
        </w:rPr>
        <w:t>Involvement in extra-curricular activities</w:t>
      </w:r>
    </w:p>
    <w:p w:rsidR="00756622" w:rsidRDefault="00E414CC">
      <w:pPr>
        <w:numPr>
          <w:ilvl w:val="0"/>
          <w:numId w:val="22"/>
        </w:numPr>
        <w:spacing w:after="0" w:line="240" w:lineRule="auto"/>
        <w:rPr>
          <w:rFonts w:cs="Tahoma"/>
        </w:rPr>
      </w:pPr>
      <w:r>
        <w:rPr>
          <w:rFonts w:cs="Tahoma"/>
        </w:rPr>
        <w:t>Involvement in leadership and student voice activities</w:t>
      </w:r>
    </w:p>
    <w:p w:rsidR="00756622" w:rsidRDefault="00E414CC">
      <w:pPr>
        <w:numPr>
          <w:ilvl w:val="0"/>
          <w:numId w:val="22"/>
        </w:numPr>
        <w:spacing w:after="0" w:line="240" w:lineRule="auto"/>
        <w:rPr>
          <w:rFonts w:cs="Tahoma"/>
        </w:rPr>
      </w:pPr>
      <w:r>
        <w:rPr>
          <w:rFonts w:cs="Tahoma"/>
        </w:rPr>
        <w:t>Future pathways: higher education; careers</w:t>
      </w:r>
    </w:p>
    <w:p w:rsidR="00756622" w:rsidRDefault="00756622">
      <w:pPr>
        <w:spacing w:after="0" w:line="240" w:lineRule="auto"/>
        <w:rPr>
          <w:rFonts w:cs="Tahoma"/>
        </w:rPr>
      </w:pPr>
    </w:p>
    <w:p w:rsidR="00756622" w:rsidRDefault="00756622">
      <w:pPr>
        <w:spacing w:after="0" w:line="240" w:lineRule="auto"/>
        <w:rPr>
          <w:rFonts w:cs="Tahoma"/>
        </w:rPr>
      </w:pPr>
    </w:p>
    <w:p w:rsidR="00756622" w:rsidRDefault="00E414CC">
      <w:pPr>
        <w:spacing w:after="0" w:line="240" w:lineRule="auto"/>
        <w:rPr>
          <w:rFonts w:cs="Tahoma"/>
        </w:rPr>
      </w:pPr>
      <w:r>
        <w:rPr>
          <w:rFonts w:asciiTheme="minorHAnsi" w:hAnsiTheme="minorHAnsi" w:cstheme="minorHAnsi"/>
          <w:b/>
          <w:sz w:val="24"/>
          <w:szCs w:val="24"/>
        </w:rPr>
        <w:t xml:space="preserve">Bursaries:  </w:t>
      </w:r>
      <w:r>
        <w:rPr>
          <w:rFonts w:cs="Tahoma"/>
        </w:rPr>
        <w:t xml:space="preserve">Students in the AG&amp;T tracking group, or who are exceptionally gifted or talented will be able to apply for a bursary to financially support their learning needs. </w:t>
      </w:r>
      <w:r>
        <w:t>Our aim is to offer financial assistance to the parents/carers of students on the Able, Gifted and Talented Register who would not otherwise be able to afford some of the opportunities available. Further information for parents and the application form are available via the school website. Each application will be considered on its own merits.</w:t>
      </w:r>
    </w:p>
    <w:p w:rsidR="00756622" w:rsidRDefault="00E414CC">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lastRenderedPageBreak/>
        <w:t xml:space="preserve">Staffing Structure </w:t>
      </w:r>
    </w:p>
    <w:p w:rsidR="00756622" w:rsidRDefault="00E414CC">
      <w:pPr>
        <w:spacing w:after="120" w:line="240" w:lineRule="auto"/>
        <w:jc w:val="both"/>
        <w:rPr>
          <w:rFonts w:asciiTheme="minorHAnsi" w:hAnsiTheme="minorHAnsi" w:cstheme="minorHAnsi"/>
          <w:sz w:val="24"/>
          <w:szCs w:val="24"/>
        </w:rPr>
      </w:pPr>
      <w:r>
        <w:rPr>
          <w:rFonts w:asciiTheme="minorHAnsi" w:hAnsiTheme="minorHAnsi" w:cstheme="minorHAnsi"/>
          <w:noProof/>
          <w:sz w:val="24"/>
          <w:szCs w:val="24"/>
          <w:lang w:eastAsia="en-GB"/>
        </w:rPr>
        <w:drawing>
          <wp:inline distT="0" distB="0" distL="0" distR="0">
            <wp:extent cx="6120130" cy="2562225"/>
            <wp:effectExtent l="0" t="0" r="71120" b="0"/>
            <wp:docPr id="2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56622" w:rsidRDefault="00756622">
      <w:pPr>
        <w:spacing w:after="120" w:line="240" w:lineRule="auto"/>
        <w:jc w:val="both"/>
        <w:rPr>
          <w:rFonts w:asciiTheme="minorHAnsi" w:hAnsiTheme="minorHAnsi" w:cstheme="minorHAnsi"/>
          <w:noProof/>
          <w:sz w:val="24"/>
          <w:szCs w:val="24"/>
          <w:lang w:eastAsia="en-GB"/>
        </w:rPr>
      </w:pPr>
    </w:p>
    <w:p w:rsidR="00756622" w:rsidRDefault="00E414CC">
      <w:pPr>
        <w:spacing w:after="120" w:line="240" w:lineRule="auto"/>
        <w:jc w:val="both"/>
        <w:rPr>
          <w:rFonts w:asciiTheme="minorHAnsi" w:hAnsiTheme="minorHAnsi" w:cstheme="minorHAnsi"/>
          <w:b/>
          <w:noProof/>
          <w:sz w:val="24"/>
          <w:szCs w:val="24"/>
          <w:lang w:eastAsia="en-GB"/>
        </w:rPr>
      </w:pPr>
      <w:r>
        <w:rPr>
          <w:rFonts w:asciiTheme="minorHAnsi" w:hAnsiTheme="minorHAnsi" w:cstheme="minorHAnsi"/>
          <w:b/>
          <w:noProof/>
          <w:sz w:val="24"/>
          <w:szCs w:val="24"/>
          <w:lang w:eastAsia="en-GB"/>
        </w:rPr>
        <w:t>Roles and Responsibiliites</w:t>
      </w:r>
    </w:p>
    <w:p w:rsidR="00756622" w:rsidRDefault="00756622">
      <w:pPr>
        <w:spacing w:after="120" w:line="240" w:lineRule="auto"/>
        <w:jc w:val="both"/>
        <w:rPr>
          <w:rFonts w:asciiTheme="minorHAnsi" w:hAnsiTheme="minorHAnsi" w:cstheme="minorHAnsi"/>
          <w:noProof/>
          <w:sz w:val="24"/>
          <w:szCs w:val="24"/>
          <w:lang w:eastAsia="en-GB"/>
        </w:rPr>
      </w:pPr>
    </w:p>
    <w:p w:rsidR="00756622" w:rsidRDefault="00E02FC0" w:rsidP="00E02FC0">
      <w:pPr>
        <w:spacing w:after="120" w:line="240" w:lineRule="auto"/>
        <w:jc w:val="both"/>
        <w:rPr>
          <w:rFonts w:asciiTheme="minorHAnsi" w:hAnsiTheme="minorHAnsi" w:cstheme="minorHAnsi"/>
          <w:i/>
          <w:noProof/>
          <w:sz w:val="24"/>
          <w:szCs w:val="24"/>
          <w:lang w:eastAsia="en-GB"/>
        </w:rPr>
      </w:pPr>
      <w:r>
        <w:rPr>
          <w:rFonts w:asciiTheme="minorHAnsi" w:hAnsiTheme="minorHAnsi" w:cstheme="minorHAnsi"/>
          <w:i/>
          <w:noProof/>
          <w:sz w:val="24"/>
          <w:szCs w:val="24"/>
          <w:lang w:eastAsia="en-GB"/>
        </w:rPr>
        <w:t xml:space="preserve">Assitant Headteacher responsible for </w:t>
      </w:r>
      <w:r w:rsidRPr="00E02FC0">
        <w:rPr>
          <w:rFonts w:asciiTheme="minorHAnsi" w:hAnsiTheme="minorHAnsi" w:cstheme="minorHAnsi"/>
          <w:i/>
          <w:noProof/>
          <w:sz w:val="24"/>
          <w:szCs w:val="24"/>
          <w:lang w:eastAsia="en-GB"/>
        </w:rPr>
        <w:t>Whole School Able Gifted and Talented Strategy</w:t>
      </w: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The post</w:t>
      </w:r>
      <w:r w:rsidR="00E02FC0">
        <w:rPr>
          <w:rFonts w:asciiTheme="minorHAnsi" w:hAnsiTheme="minorHAnsi" w:cstheme="minorHAnsi"/>
          <w:noProof/>
          <w:lang w:eastAsia="en-GB"/>
        </w:rPr>
        <w:t>holder will be a member of the Leadership T</w:t>
      </w:r>
      <w:r>
        <w:rPr>
          <w:rFonts w:asciiTheme="minorHAnsi" w:hAnsiTheme="minorHAnsi" w:cstheme="minorHAnsi"/>
          <w:noProof/>
          <w:lang w:eastAsia="en-GB"/>
        </w:rPr>
        <w:t xml:space="preserve">eam and be responsible for </w:t>
      </w:r>
      <w:r w:rsidR="00E02FC0">
        <w:rPr>
          <w:rFonts w:asciiTheme="minorHAnsi" w:hAnsiTheme="minorHAnsi" w:cstheme="minorHAnsi"/>
          <w:noProof/>
          <w:lang w:eastAsia="en-GB"/>
        </w:rPr>
        <w:t xml:space="preserve">leading, developing and coordinating </w:t>
      </w:r>
      <w:r>
        <w:rPr>
          <w:rFonts w:asciiTheme="minorHAnsi" w:hAnsiTheme="minorHAnsi" w:cstheme="minorHAnsi"/>
          <w:noProof/>
          <w:lang w:eastAsia="en-GB"/>
        </w:rPr>
        <w:t xml:space="preserve">AG&amp;T policy and the monitoring, evaluation and review of the school’s provision. The postholder will work closely with </w:t>
      </w:r>
      <w:r w:rsidR="00E02FC0">
        <w:rPr>
          <w:rFonts w:asciiTheme="minorHAnsi" w:hAnsiTheme="minorHAnsi" w:cstheme="minorHAnsi"/>
          <w:noProof/>
          <w:lang w:eastAsia="en-GB"/>
        </w:rPr>
        <w:t xml:space="preserve">Heads of Faculty and </w:t>
      </w:r>
      <w:r>
        <w:rPr>
          <w:rFonts w:asciiTheme="minorHAnsi" w:hAnsiTheme="minorHAnsi" w:cstheme="minorHAnsi"/>
          <w:noProof/>
          <w:lang w:eastAsia="en-GB"/>
        </w:rPr>
        <w:t>will</w:t>
      </w:r>
      <w:r w:rsidR="00E02FC0">
        <w:rPr>
          <w:rFonts w:asciiTheme="minorHAnsi" w:hAnsiTheme="minorHAnsi" w:cstheme="minorHAnsi"/>
          <w:noProof/>
          <w:lang w:eastAsia="en-GB"/>
        </w:rPr>
        <w:t xml:space="preserve"> line-manage the school’s AG&amp;T C</w:t>
      </w:r>
      <w:r>
        <w:rPr>
          <w:rFonts w:asciiTheme="minorHAnsi" w:hAnsiTheme="minorHAnsi" w:cstheme="minorHAnsi"/>
          <w:noProof/>
          <w:lang w:eastAsia="en-GB"/>
        </w:rPr>
        <w:t>oordinator.</w:t>
      </w:r>
      <w:r w:rsidR="00E02FC0">
        <w:rPr>
          <w:rFonts w:asciiTheme="minorHAnsi" w:hAnsiTheme="minorHAnsi" w:cstheme="minorHAnsi"/>
          <w:noProof/>
          <w:lang w:eastAsia="en-GB"/>
        </w:rPr>
        <w:t xml:space="preserve"> The postholder will be line-managed by a Deputy Headteacher.</w:t>
      </w:r>
    </w:p>
    <w:p w:rsidR="00756622" w:rsidRDefault="00756622">
      <w:pPr>
        <w:spacing w:after="120" w:line="240" w:lineRule="auto"/>
        <w:jc w:val="both"/>
        <w:rPr>
          <w:rFonts w:asciiTheme="minorHAnsi" w:hAnsiTheme="minorHAnsi" w:cstheme="minorHAnsi"/>
          <w:noProof/>
          <w:sz w:val="24"/>
          <w:szCs w:val="24"/>
          <w:lang w:eastAsia="en-GB"/>
        </w:rPr>
      </w:pPr>
    </w:p>
    <w:p w:rsidR="00756622" w:rsidRDefault="00E02FC0">
      <w:pPr>
        <w:spacing w:after="120" w:line="240" w:lineRule="auto"/>
        <w:jc w:val="both"/>
        <w:rPr>
          <w:rFonts w:asciiTheme="minorHAnsi" w:hAnsiTheme="minorHAnsi" w:cstheme="minorHAnsi"/>
          <w:i/>
          <w:noProof/>
          <w:sz w:val="24"/>
          <w:szCs w:val="24"/>
          <w:lang w:eastAsia="en-GB"/>
        </w:rPr>
      </w:pPr>
      <w:r>
        <w:rPr>
          <w:rFonts w:asciiTheme="minorHAnsi" w:hAnsiTheme="minorHAnsi" w:cstheme="minorHAnsi"/>
          <w:i/>
          <w:noProof/>
          <w:sz w:val="24"/>
          <w:szCs w:val="24"/>
          <w:lang w:eastAsia="en-GB"/>
        </w:rPr>
        <w:t>AG&amp;T C</w:t>
      </w:r>
      <w:r w:rsidR="00E414CC">
        <w:rPr>
          <w:rFonts w:asciiTheme="minorHAnsi" w:hAnsiTheme="minorHAnsi" w:cstheme="minorHAnsi"/>
          <w:i/>
          <w:noProof/>
          <w:sz w:val="24"/>
          <w:szCs w:val="24"/>
          <w:lang w:eastAsia="en-GB"/>
        </w:rPr>
        <w:t>oordinator</w:t>
      </w:r>
    </w:p>
    <w:p w:rsidR="00756622" w:rsidRDefault="00711A68">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Is</w:t>
      </w:r>
      <w:r w:rsidR="00E414CC">
        <w:rPr>
          <w:rFonts w:asciiTheme="minorHAnsi" w:hAnsiTheme="minorHAnsi" w:cstheme="minorHAnsi"/>
          <w:noProof/>
          <w:lang w:eastAsia="en-GB"/>
        </w:rPr>
        <w:t xml:space="preserve"> responsible for:</w:t>
      </w:r>
    </w:p>
    <w:p w:rsidR="00756622" w:rsidRDefault="00E90867">
      <w:pPr>
        <w:numPr>
          <w:ilvl w:val="0"/>
          <w:numId w:val="19"/>
        </w:numPr>
        <w:spacing w:after="0" w:line="240" w:lineRule="auto"/>
        <w:rPr>
          <w:rFonts w:cs="Tahoma"/>
        </w:rPr>
      </w:pPr>
      <w:r>
        <w:rPr>
          <w:rFonts w:cs="Tahoma"/>
        </w:rPr>
        <w:t xml:space="preserve">Supporting the AHT in </w:t>
      </w:r>
      <w:r w:rsidR="00E414CC">
        <w:rPr>
          <w:rFonts w:cs="Tahoma"/>
        </w:rPr>
        <w:t xml:space="preserve">maintaining and updating the AG&amp;T lists through discussions with </w:t>
      </w:r>
      <w:proofErr w:type="spellStart"/>
      <w:r w:rsidR="00E414CC">
        <w:rPr>
          <w:rFonts w:cs="Tahoma"/>
        </w:rPr>
        <w:t>HoFs</w:t>
      </w:r>
      <w:proofErr w:type="spellEnd"/>
    </w:p>
    <w:p w:rsidR="00756622" w:rsidRDefault="00E414CC">
      <w:pPr>
        <w:numPr>
          <w:ilvl w:val="0"/>
          <w:numId w:val="19"/>
        </w:numPr>
        <w:spacing w:after="0" w:line="240" w:lineRule="auto"/>
        <w:rPr>
          <w:rFonts w:cs="Tahoma"/>
        </w:rPr>
      </w:pPr>
      <w:r>
        <w:rPr>
          <w:rFonts w:cs="Tahoma"/>
        </w:rPr>
        <w:t>keeping a log of all AG&amp;T extra-curricular activities</w:t>
      </w:r>
    </w:p>
    <w:p w:rsidR="00756622" w:rsidRDefault="00E414CC">
      <w:pPr>
        <w:numPr>
          <w:ilvl w:val="0"/>
          <w:numId w:val="19"/>
        </w:numPr>
        <w:spacing w:after="0" w:line="240" w:lineRule="auto"/>
        <w:rPr>
          <w:rFonts w:cs="Tahoma"/>
        </w:rPr>
      </w:pPr>
      <w:r>
        <w:rPr>
          <w:rFonts w:cs="Tahoma"/>
        </w:rPr>
        <w:t>distributing literature relating to LA AG&amp;T provision to faculties</w:t>
      </w:r>
    </w:p>
    <w:p w:rsidR="00E90867" w:rsidRDefault="00E90867">
      <w:pPr>
        <w:numPr>
          <w:ilvl w:val="0"/>
          <w:numId w:val="19"/>
        </w:numPr>
        <w:spacing w:after="0" w:line="240" w:lineRule="auto"/>
        <w:rPr>
          <w:rFonts w:cs="Tahoma"/>
        </w:rPr>
      </w:pPr>
      <w:r>
        <w:rPr>
          <w:rFonts w:cs="Tahoma"/>
        </w:rPr>
        <w:t>Promotes AG&amp;T activities in the staff bulletin, newsletter and website</w:t>
      </w:r>
    </w:p>
    <w:p w:rsidR="00756622" w:rsidRDefault="00E414CC">
      <w:pPr>
        <w:numPr>
          <w:ilvl w:val="0"/>
          <w:numId w:val="19"/>
        </w:numPr>
        <w:spacing w:after="0" w:line="240" w:lineRule="auto"/>
        <w:rPr>
          <w:rFonts w:cs="Tahoma"/>
        </w:rPr>
      </w:pPr>
      <w:r>
        <w:rPr>
          <w:rFonts w:cs="Tahoma"/>
        </w:rPr>
        <w:t xml:space="preserve">coordinating </w:t>
      </w:r>
      <w:r w:rsidR="00E90867">
        <w:rPr>
          <w:rFonts w:cs="Tahoma"/>
        </w:rPr>
        <w:t>the Brilliant Club programme</w:t>
      </w:r>
    </w:p>
    <w:p w:rsidR="00756622" w:rsidRDefault="00756622">
      <w:pPr>
        <w:spacing w:after="0"/>
        <w:jc w:val="both"/>
        <w:rPr>
          <w:rFonts w:asciiTheme="minorHAnsi" w:hAnsiTheme="minorHAnsi" w:cstheme="minorHAnsi"/>
          <w:sz w:val="24"/>
          <w:szCs w:val="24"/>
        </w:rPr>
      </w:pPr>
    </w:p>
    <w:p w:rsidR="00756622" w:rsidRDefault="00E414CC">
      <w:pPr>
        <w:spacing w:after="0"/>
        <w:jc w:val="both"/>
        <w:rPr>
          <w:rFonts w:asciiTheme="minorHAnsi" w:hAnsiTheme="minorHAnsi" w:cstheme="minorHAnsi"/>
          <w:i/>
          <w:sz w:val="24"/>
          <w:szCs w:val="24"/>
        </w:rPr>
      </w:pPr>
      <w:r>
        <w:rPr>
          <w:rFonts w:asciiTheme="minorHAnsi" w:hAnsiTheme="minorHAnsi" w:cstheme="minorHAnsi"/>
          <w:i/>
          <w:sz w:val="24"/>
          <w:szCs w:val="24"/>
        </w:rPr>
        <w:t>Faculty AG&amp;T coordinators</w:t>
      </w: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Each faculty will have a member of staff responsible for:</w:t>
      </w:r>
    </w:p>
    <w:p w:rsidR="00756622" w:rsidRDefault="00E414CC">
      <w:pPr>
        <w:numPr>
          <w:ilvl w:val="0"/>
          <w:numId w:val="19"/>
        </w:numPr>
        <w:spacing w:after="0" w:line="240" w:lineRule="auto"/>
        <w:rPr>
          <w:rFonts w:cs="Tahoma"/>
        </w:rPr>
      </w:pPr>
      <w:r>
        <w:rPr>
          <w:rFonts w:cs="Tahoma"/>
        </w:rPr>
        <w:t>maintaining the lists of students who are considered to have gifts or talents</w:t>
      </w:r>
    </w:p>
    <w:p w:rsidR="00756622" w:rsidRDefault="00910668">
      <w:pPr>
        <w:numPr>
          <w:ilvl w:val="0"/>
          <w:numId w:val="19"/>
        </w:numPr>
        <w:spacing w:after="0" w:line="240" w:lineRule="auto"/>
        <w:rPr>
          <w:rFonts w:cs="Tahoma"/>
        </w:rPr>
      </w:pPr>
      <w:r>
        <w:rPr>
          <w:rFonts w:cs="Tahoma"/>
        </w:rPr>
        <w:t xml:space="preserve">ensuring schemes of work </w:t>
      </w:r>
      <w:bookmarkStart w:id="0" w:name="_GoBack"/>
      <w:bookmarkEnd w:id="0"/>
      <w:r w:rsidR="00E414CC">
        <w:rPr>
          <w:rFonts w:cs="Tahoma"/>
        </w:rPr>
        <w:t>/ programmes of study provide appropriate challenge</w:t>
      </w:r>
    </w:p>
    <w:p w:rsidR="00756622" w:rsidRDefault="00E414CC">
      <w:pPr>
        <w:numPr>
          <w:ilvl w:val="0"/>
          <w:numId w:val="19"/>
        </w:numPr>
        <w:spacing w:after="0" w:line="240" w:lineRule="auto"/>
        <w:rPr>
          <w:rFonts w:cs="Tahoma"/>
        </w:rPr>
      </w:pPr>
      <w:r>
        <w:rPr>
          <w:rFonts w:cs="Tahoma"/>
        </w:rPr>
        <w:t>ensuring appropriate resources are available for AG&amp;T students</w:t>
      </w:r>
    </w:p>
    <w:p w:rsidR="00756622" w:rsidRDefault="00E414CC">
      <w:pPr>
        <w:numPr>
          <w:ilvl w:val="0"/>
          <w:numId w:val="19"/>
        </w:numPr>
        <w:spacing w:after="0" w:line="240" w:lineRule="auto"/>
        <w:rPr>
          <w:rFonts w:cs="Tahoma"/>
        </w:rPr>
      </w:pPr>
      <w:r>
        <w:rPr>
          <w:rFonts w:cs="Tahoma"/>
        </w:rPr>
        <w:t>coordinating the faculty’s / subject’s AG&amp;T enrichment provision</w:t>
      </w:r>
    </w:p>
    <w:p w:rsidR="00756622" w:rsidRDefault="00756622">
      <w:pPr>
        <w:spacing w:after="120" w:line="240" w:lineRule="auto"/>
        <w:jc w:val="both"/>
        <w:rPr>
          <w:rFonts w:asciiTheme="minorHAnsi" w:hAnsiTheme="minorHAnsi" w:cstheme="minorHAnsi"/>
          <w:b/>
          <w:i/>
        </w:rPr>
      </w:pPr>
    </w:p>
    <w:p w:rsidR="00756622" w:rsidRDefault="00E414CC">
      <w:pPr>
        <w:spacing w:before="100" w:beforeAutospacing="1" w:after="240" w:line="336" w:lineRule="atLeast"/>
        <w:rPr>
          <w:rFonts w:asciiTheme="minorHAnsi" w:eastAsia="Times New Roman" w:hAnsiTheme="minorHAnsi" w:cstheme="minorHAnsi"/>
          <w:b/>
          <w:i/>
          <w:color w:val="000000"/>
          <w:sz w:val="24"/>
          <w:szCs w:val="24"/>
          <w:lang w:eastAsia="en-GB"/>
        </w:rPr>
      </w:pPr>
      <w:r>
        <w:rPr>
          <w:rFonts w:asciiTheme="minorHAnsi" w:hAnsiTheme="minorHAnsi" w:cstheme="minorHAnsi"/>
          <w:i/>
          <w:sz w:val="24"/>
          <w:szCs w:val="24"/>
        </w:rPr>
        <w:t>AG&amp;T mentors</w:t>
      </w:r>
    </w:p>
    <w:p w:rsidR="00756622" w:rsidRDefault="00E414CC">
      <w:pPr>
        <w:shd w:val="clear" w:color="auto" w:fill="FFFFFF"/>
        <w:spacing w:after="120" w:line="240" w:lineRule="auto"/>
        <w:outlineLvl w:val="2"/>
        <w:rPr>
          <w:rFonts w:asciiTheme="minorHAnsi" w:hAnsiTheme="minorHAnsi" w:cstheme="minorHAnsi"/>
          <w:b/>
          <w:sz w:val="28"/>
          <w:szCs w:val="28"/>
        </w:rPr>
      </w:pPr>
      <w:r>
        <w:rPr>
          <w:rFonts w:asciiTheme="minorHAnsi" w:eastAsia="Times New Roman" w:hAnsiTheme="minorHAnsi" w:cstheme="minorHAnsi"/>
          <w:color w:val="000000"/>
          <w:lang w:eastAsia="en-GB"/>
        </w:rPr>
        <w:t>See mentoring in section 7.</w:t>
      </w:r>
      <w:r>
        <w:rPr>
          <w:rFonts w:asciiTheme="minorHAnsi" w:hAnsiTheme="minorHAnsi" w:cstheme="minorHAnsi"/>
          <w:b/>
          <w:sz w:val="28"/>
          <w:szCs w:val="28"/>
        </w:rPr>
        <w:t xml:space="preserve"> </w:t>
      </w:r>
    </w:p>
    <w:p w:rsidR="00756622" w:rsidRDefault="00756622">
      <w:pPr>
        <w:shd w:val="clear" w:color="auto" w:fill="FFFFFF"/>
        <w:spacing w:after="120" w:line="240" w:lineRule="auto"/>
        <w:outlineLvl w:val="2"/>
        <w:rPr>
          <w:rFonts w:cs="Calibri"/>
          <w:b/>
          <w:sz w:val="28"/>
          <w:szCs w:val="28"/>
        </w:rPr>
      </w:pPr>
    </w:p>
    <w:p w:rsidR="00756622" w:rsidRDefault="00E414CC">
      <w:pPr>
        <w:pStyle w:val="ListParagraph"/>
        <w:numPr>
          <w:ilvl w:val="0"/>
          <w:numId w:val="25"/>
        </w:numPr>
        <w:shd w:val="clear" w:color="auto" w:fill="FFFFFF"/>
        <w:spacing w:after="120" w:line="240" w:lineRule="auto"/>
        <w:ind w:left="426" w:hanging="426"/>
        <w:outlineLvl w:val="2"/>
        <w:rPr>
          <w:rFonts w:cs="Calibri"/>
          <w:b/>
          <w:sz w:val="28"/>
          <w:szCs w:val="28"/>
        </w:rPr>
      </w:pPr>
      <w:r>
        <w:rPr>
          <w:rFonts w:asciiTheme="minorHAnsi" w:hAnsiTheme="minorHAnsi" w:cstheme="minorHAnsi"/>
          <w:b/>
          <w:sz w:val="28"/>
          <w:szCs w:val="28"/>
        </w:rPr>
        <w:lastRenderedPageBreak/>
        <w:t>Monitoring and Evaluation</w:t>
      </w:r>
    </w:p>
    <w:p w:rsidR="00756622" w:rsidRDefault="00756622">
      <w:pPr>
        <w:spacing w:after="0" w:line="240" w:lineRule="auto"/>
        <w:rPr>
          <w:rFonts w:cs="Tahoma"/>
          <w:b/>
          <w:bCs/>
          <w:sz w:val="28"/>
        </w:rPr>
      </w:pP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 xml:space="preserve">The progress of AG&amp;T students will be tracked to ensure expected (or better) progress is being made, i.e. that students are predicted to achieve their Target Grades or Challenge Grades in all subjects. </w:t>
      </w:r>
    </w:p>
    <w:p w:rsidR="00756622" w:rsidRDefault="00756622">
      <w:pPr>
        <w:spacing w:after="120" w:line="240" w:lineRule="auto"/>
        <w:jc w:val="both"/>
        <w:rPr>
          <w:rFonts w:asciiTheme="minorHAnsi" w:hAnsiTheme="minorHAnsi" w:cstheme="minorHAnsi"/>
          <w:noProof/>
          <w:sz w:val="24"/>
          <w:szCs w:val="24"/>
          <w:lang w:eastAsia="en-GB"/>
        </w:rPr>
      </w:pPr>
    </w:p>
    <w:p w:rsidR="00756622" w:rsidRDefault="00E414CC">
      <w:pPr>
        <w:spacing w:after="120" w:line="240" w:lineRule="auto"/>
        <w:jc w:val="both"/>
        <w:rPr>
          <w:rFonts w:asciiTheme="minorHAnsi" w:hAnsiTheme="minorHAnsi" w:cstheme="minorHAnsi"/>
          <w:noProof/>
          <w:sz w:val="24"/>
          <w:szCs w:val="24"/>
          <w:lang w:eastAsia="en-GB"/>
        </w:rPr>
      </w:pPr>
      <w:r>
        <w:rPr>
          <w:rFonts w:asciiTheme="minorHAnsi" w:hAnsiTheme="minorHAnsi" w:cstheme="minorHAnsi"/>
          <w:noProof/>
          <w:sz w:val="24"/>
          <w:szCs w:val="24"/>
          <w:lang w:eastAsia="en-GB"/>
        </w:rPr>
        <w:t>Underachievement will be identified in the following ways:</w:t>
      </w:r>
    </w:p>
    <w:p w:rsidR="00756622" w:rsidRDefault="00756622">
      <w:pPr>
        <w:spacing w:after="0" w:line="240" w:lineRule="auto"/>
        <w:rPr>
          <w:rFonts w:cs="Tahoma"/>
          <w:color w:val="FF0000"/>
        </w:rPr>
      </w:pPr>
    </w:p>
    <w:p w:rsidR="00756622" w:rsidRDefault="00E414CC">
      <w:pPr>
        <w:numPr>
          <w:ilvl w:val="0"/>
          <w:numId w:val="17"/>
        </w:numPr>
        <w:spacing w:after="0" w:line="240" w:lineRule="auto"/>
        <w:rPr>
          <w:rFonts w:cs="Tahoma"/>
          <w:bCs/>
        </w:rPr>
      </w:pPr>
      <w:r>
        <w:rPr>
          <w:rFonts w:cs="Tahoma"/>
          <w:bCs/>
        </w:rPr>
        <w:t>Subject teachers will keep records of student progress and will target appropriate interventions should attainment levels fall in any one subject</w:t>
      </w:r>
    </w:p>
    <w:p w:rsidR="00756622" w:rsidRDefault="00756622">
      <w:pPr>
        <w:spacing w:after="0" w:line="240" w:lineRule="auto"/>
        <w:ind w:left="720"/>
        <w:rPr>
          <w:rFonts w:cs="Tahoma"/>
          <w:bCs/>
        </w:rPr>
      </w:pPr>
    </w:p>
    <w:p w:rsidR="00756622" w:rsidRDefault="00E414CC">
      <w:pPr>
        <w:numPr>
          <w:ilvl w:val="0"/>
          <w:numId w:val="17"/>
        </w:numPr>
        <w:spacing w:after="0" w:line="240" w:lineRule="auto"/>
        <w:rPr>
          <w:rFonts w:cs="Tahoma"/>
          <w:bCs/>
        </w:rPr>
      </w:pPr>
      <w:r>
        <w:rPr>
          <w:rFonts w:cs="Tahoma"/>
          <w:bCs/>
        </w:rPr>
        <w:t xml:space="preserve">Heads of Faculty will monitor progress through the use of assessment data after each Data Window and through work scrutiny, lesson observations and student focus interviews. They will support subject teachers in </w:t>
      </w:r>
      <w:r w:rsidR="00711A68">
        <w:rPr>
          <w:rFonts w:cs="Tahoma"/>
          <w:bCs/>
        </w:rPr>
        <w:t xml:space="preserve">their efforts to differentiate </w:t>
      </w:r>
      <w:r>
        <w:rPr>
          <w:rFonts w:cs="Tahoma"/>
          <w:bCs/>
        </w:rPr>
        <w:t xml:space="preserve">to meet the needs of </w:t>
      </w:r>
      <w:proofErr w:type="gramStart"/>
      <w:r>
        <w:rPr>
          <w:rFonts w:cs="Tahoma"/>
          <w:bCs/>
        </w:rPr>
        <w:t>more able</w:t>
      </w:r>
      <w:proofErr w:type="gramEnd"/>
      <w:r>
        <w:rPr>
          <w:rFonts w:cs="Tahoma"/>
          <w:bCs/>
        </w:rPr>
        <w:t xml:space="preserve"> students</w:t>
      </w:r>
    </w:p>
    <w:p w:rsidR="00756622" w:rsidRDefault="00756622">
      <w:pPr>
        <w:spacing w:after="0" w:line="240" w:lineRule="auto"/>
        <w:ind w:left="720"/>
        <w:rPr>
          <w:rFonts w:cs="Tahoma"/>
          <w:bCs/>
        </w:rPr>
      </w:pPr>
    </w:p>
    <w:p w:rsidR="00756622" w:rsidRDefault="00E414CC">
      <w:pPr>
        <w:numPr>
          <w:ilvl w:val="0"/>
          <w:numId w:val="17"/>
        </w:numPr>
        <w:spacing w:after="0" w:line="240" w:lineRule="auto"/>
        <w:rPr>
          <w:rFonts w:cs="Tahoma"/>
          <w:bCs/>
        </w:rPr>
      </w:pPr>
      <w:r>
        <w:rPr>
          <w:rFonts w:cs="Tahoma"/>
          <w:bCs/>
        </w:rPr>
        <w:t>Tutors will monitor attainment through mentoring interviews following each Data Window</w:t>
      </w:r>
    </w:p>
    <w:p w:rsidR="00756622" w:rsidRDefault="00756622">
      <w:pPr>
        <w:spacing w:after="0" w:line="240" w:lineRule="auto"/>
        <w:rPr>
          <w:rFonts w:cs="Tahoma"/>
          <w:bCs/>
        </w:rPr>
      </w:pPr>
    </w:p>
    <w:p w:rsidR="00756622" w:rsidRDefault="00711A68">
      <w:pPr>
        <w:numPr>
          <w:ilvl w:val="0"/>
          <w:numId w:val="17"/>
        </w:numPr>
        <w:spacing w:after="0" w:line="240" w:lineRule="auto"/>
        <w:rPr>
          <w:rFonts w:cs="Tahoma"/>
          <w:bCs/>
        </w:rPr>
      </w:pPr>
      <w:r>
        <w:rPr>
          <w:rFonts w:cs="Tahoma"/>
          <w:bCs/>
        </w:rPr>
        <w:t>PL</w:t>
      </w:r>
      <w:r w:rsidR="00E414CC">
        <w:rPr>
          <w:rFonts w:cs="Tahoma"/>
          <w:bCs/>
        </w:rPr>
        <w:t xml:space="preserve"> will track student progress and will intervene if students fail to meet expected standards. This will be evident in assessment data from Data Windows and behaviour records. They will liaise with Heads of Faculty to address issues of subject specific underachievement.</w:t>
      </w:r>
    </w:p>
    <w:p w:rsidR="00756622" w:rsidRDefault="00756622">
      <w:pPr>
        <w:spacing w:after="0" w:line="240" w:lineRule="auto"/>
        <w:rPr>
          <w:rFonts w:cs="Tahoma"/>
          <w:bCs/>
        </w:rPr>
      </w:pPr>
    </w:p>
    <w:p w:rsidR="00756622" w:rsidRDefault="00E414CC">
      <w:pPr>
        <w:numPr>
          <w:ilvl w:val="0"/>
          <w:numId w:val="17"/>
        </w:numPr>
        <w:spacing w:after="0" w:line="240" w:lineRule="auto"/>
        <w:rPr>
          <w:rFonts w:cs="Tahoma"/>
          <w:bCs/>
        </w:rPr>
      </w:pPr>
      <w:r>
        <w:rPr>
          <w:rFonts w:cs="Tahoma"/>
          <w:bCs/>
        </w:rPr>
        <w:t xml:space="preserve">The AG&amp;T Strategic Leader (a member of the Leadership Team) will monitor progress through the use of assessment data after each Data Window. They will support Heads of Faculty and Heads of House in their efforts to promote the progress and needs of </w:t>
      </w:r>
      <w:r w:rsidR="00197904">
        <w:rPr>
          <w:rFonts w:cs="Tahoma"/>
          <w:bCs/>
        </w:rPr>
        <w:t>AG&amp;T</w:t>
      </w:r>
      <w:r>
        <w:rPr>
          <w:rFonts w:cs="Tahoma"/>
          <w:bCs/>
        </w:rPr>
        <w:t xml:space="preserve"> students</w:t>
      </w:r>
      <w:r w:rsidR="00C600F4">
        <w:rPr>
          <w:rFonts w:cs="Tahoma"/>
          <w:bCs/>
        </w:rPr>
        <w:t xml:space="preserve">. See </w:t>
      </w:r>
      <w:r w:rsidR="00644781">
        <w:rPr>
          <w:rFonts w:cs="Tahoma"/>
          <w:bCs/>
        </w:rPr>
        <w:t>section 11.</w:t>
      </w:r>
      <w:r w:rsidR="00C600F4">
        <w:rPr>
          <w:rFonts w:cs="Tahoma"/>
          <w:bCs/>
        </w:rPr>
        <w:t xml:space="preserve">  </w:t>
      </w:r>
    </w:p>
    <w:p w:rsidR="00756622" w:rsidRDefault="00756622">
      <w:pPr>
        <w:pStyle w:val="ListParagraph"/>
        <w:rPr>
          <w:rFonts w:cs="Tahoma"/>
          <w:bCs/>
        </w:rPr>
      </w:pPr>
    </w:p>
    <w:p w:rsidR="00756622" w:rsidRDefault="00756622">
      <w:pPr>
        <w:spacing w:after="0" w:line="240" w:lineRule="auto"/>
        <w:ind w:left="720"/>
        <w:rPr>
          <w:rFonts w:cs="Tahoma"/>
        </w:rPr>
      </w:pPr>
    </w:p>
    <w:tbl>
      <w:tblPr>
        <w:tblStyle w:val="TableGrid"/>
        <w:tblW w:w="0" w:type="auto"/>
        <w:tblInd w:w="250" w:type="dxa"/>
        <w:tblLook w:val="04A0" w:firstRow="1" w:lastRow="0" w:firstColumn="1" w:lastColumn="0" w:noHBand="0" w:noVBand="1"/>
      </w:tblPr>
      <w:tblGrid>
        <w:gridCol w:w="845"/>
        <w:gridCol w:w="6484"/>
        <w:gridCol w:w="2049"/>
      </w:tblGrid>
      <w:tr w:rsidR="00756622" w:rsidTr="00E90867">
        <w:tc>
          <w:tcPr>
            <w:tcW w:w="845" w:type="dxa"/>
          </w:tcPr>
          <w:p w:rsidR="00756622" w:rsidRDefault="00E414CC">
            <w:pPr>
              <w:spacing w:after="120" w:line="240" w:lineRule="auto"/>
              <w:jc w:val="both"/>
              <w:rPr>
                <w:rFonts w:asciiTheme="minorHAnsi" w:hAnsiTheme="minorHAnsi" w:cstheme="minorHAnsi"/>
                <w:b/>
                <w:sz w:val="24"/>
                <w:szCs w:val="24"/>
              </w:rPr>
            </w:pPr>
            <w:r>
              <w:rPr>
                <w:rFonts w:asciiTheme="minorHAnsi" w:hAnsiTheme="minorHAnsi" w:cstheme="minorHAnsi"/>
                <w:b/>
                <w:sz w:val="24"/>
                <w:szCs w:val="24"/>
              </w:rPr>
              <w:t>Date</w:t>
            </w:r>
          </w:p>
        </w:tc>
        <w:tc>
          <w:tcPr>
            <w:tcW w:w="6484" w:type="dxa"/>
          </w:tcPr>
          <w:p w:rsidR="00756622" w:rsidRDefault="00E414CC">
            <w:pPr>
              <w:spacing w:after="120" w:line="240" w:lineRule="auto"/>
              <w:jc w:val="both"/>
              <w:rPr>
                <w:rFonts w:asciiTheme="minorHAnsi" w:hAnsiTheme="minorHAnsi" w:cstheme="minorHAnsi"/>
                <w:b/>
                <w:sz w:val="24"/>
                <w:szCs w:val="24"/>
              </w:rPr>
            </w:pPr>
            <w:r>
              <w:rPr>
                <w:rFonts w:asciiTheme="minorHAnsi" w:hAnsiTheme="minorHAnsi" w:cstheme="minorHAnsi"/>
                <w:b/>
                <w:sz w:val="24"/>
                <w:szCs w:val="24"/>
              </w:rPr>
              <w:t>Monitoring and evaluation task</w:t>
            </w:r>
          </w:p>
        </w:tc>
        <w:tc>
          <w:tcPr>
            <w:tcW w:w="2049" w:type="dxa"/>
          </w:tcPr>
          <w:p w:rsidR="00756622" w:rsidRDefault="00E414CC">
            <w:pPr>
              <w:spacing w:after="120" w:line="240" w:lineRule="auto"/>
              <w:jc w:val="both"/>
              <w:rPr>
                <w:rFonts w:asciiTheme="minorHAnsi" w:hAnsiTheme="minorHAnsi" w:cstheme="minorHAnsi"/>
                <w:b/>
                <w:sz w:val="24"/>
                <w:szCs w:val="24"/>
              </w:rPr>
            </w:pPr>
            <w:r>
              <w:rPr>
                <w:rFonts w:asciiTheme="minorHAnsi" w:hAnsiTheme="minorHAnsi" w:cstheme="minorHAnsi"/>
                <w:b/>
                <w:sz w:val="24"/>
                <w:szCs w:val="24"/>
              </w:rPr>
              <w:t>By whom</w:t>
            </w:r>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 xml:space="preserve">Sept </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Achievement of AG&amp;T students in summer exams analysed. Feeds into school exam report, Faculty exam reports and Faculty Report Cards</w:t>
            </w:r>
          </w:p>
        </w:tc>
        <w:tc>
          <w:tcPr>
            <w:tcW w:w="2049"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 xml:space="preserve">LT, </w:t>
            </w:r>
            <w:proofErr w:type="spellStart"/>
            <w:r>
              <w:rPr>
                <w:rFonts w:asciiTheme="minorHAnsi" w:hAnsiTheme="minorHAnsi" w:cstheme="minorHAnsi"/>
              </w:rPr>
              <w:t>HoFs</w:t>
            </w:r>
            <w:proofErr w:type="spellEnd"/>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Oct</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Gifted and Talented lists updated. Year 7 parents informed.</w:t>
            </w:r>
          </w:p>
          <w:p w:rsidR="00756622" w:rsidRDefault="00756622">
            <w:pPr>
              <w:spacing w:after="120" w:line="240" w:lineRule="auto"/>
              <w:jc w:val="both"/>
              <w:rPr>
                <w:rFonts w:asciiTheme="minorHAnsi" w:hAnsiTheme="minorHAnsi" w:cstheme="minorHAnsi"/>
              </w:rPr>
            </w:pPr>
          </w:p>
        </w:tc>
        <w:tc>
          <w:tcPr>
            <w:tcW w:w="2049" w:type="dxa"/>
          </w:tcPr>
          <w:p w:rsidR="00756622" w:rsidRDefault="008B30FA">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Pr>
                <w:rFonts w:asciiTheme="minorHAnsi" w:hAnsiTheme="minorHAnsi" w:cstheme="minorHAnsi"/>
              </w:rPr>
              <w:t xml:space="preserve">, AG&amp;T </w:t>
            </w:r>
            <w:proofErr w:type="spellStart"/>
            <w:r>
              <w:rPr>
                <w:rFonts w:asciiTheme="minorHAnsi" w:hAnsiTheme="minorHAnsi" w:cstheme="minorHAnsi"/>
              </w:rPr>
              <w:t>C</w:t>
            </w:r>
            <w:r w:rsidR="00E414CC">
              <w:rPr>
                <w:rFonts w:asciiTheme="minorHAnsi" w:hAnsiTheme="minorHAnsi" w:cstheme="minorHAnsi"/>
              </w:rPr>
              <w:t>oord</w:t>
            </w:r>
            <w:proofErr w:type="spellEnd"/>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Nov</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Progress of AG&amp;T students monitored following Data Window 1</w:t>
            </w:r>
          </w:p>
        </w:tc>
        <w:tc>
          <w:tcPr>
            <w:tcW w:w="2049" w:type="dxa"/>
          </w:tcPr>
          <w:p w:rsidR="00756622" w:rsidRDefault="00E414CC" w:rsidP="00E02FC0">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Pr>
                <w:rFonts w:asciiTheme="minorHAnsi" w:hAnsiTheme="minorHAnsi" w:cstheme="minorHAnsi"/>
              </w:rPr>
              <w:t>, tutors, LT</w:t>
            </w:r>
            <w:r w:rsidR="00711A68">
              <w:rPr>
                <w:rFonts w:asciiTheme="minorHAnsi" w:hAnsiTheme="minorHAnsi" w:cstheme="minorHAnsi"/>
              </w:rPr>
              <w:t xml:space="preserve"> &amp; PL</w:t>
            </w:r>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Jan</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Progress of AG&amp;T students monitored following Data Window 2</w:t>
            </w:r>
          </w:p>
        </w:tc>
        <w:tc>
          <w:tcPr>
            <w:tcW w:w="2049" w:type="dxa"/>
          </w:tcPr>
          <w:p w:rsidR="00756622" w:rsidRDefault="00E414CC" w:rsidP="00E02FC0">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Pr>
                <w:rFonts w:asciiTheme="minorHAnsi" w:hAnsiTheme="minorHAnsi" w:cstheme="minorHAnsi"/>
              </w:rPr>
              <w:t>, tutors, LT</w:t>
            </w:r>
            <w:r w:rsidR="00711A68">
              <w:rPr>
                <w:rFonts w:asciiTheme="minorHAnsi" w:hAnsiTheme="minorHAnsi" w:cstheme="minorHAnsi"/>
              </w:rPr>
              <w:t xml:space="preserve"> &amp; PL</w:t>
            </w:r>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Mar</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Progress of AG&amp;T students monitored following Data Window 3</w:t>
            </w:r>
          </w:p>
        </w:tc>
        <w:tc>
          <w:tcPr>
            <w:tcW w:w="2049" w:type="dxa"/>
          </w:tcPr>
          <w:p w:rsidR="00756622" w:rsidRDefault="00E02FC0" w:rsidP="00E02FC0">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sidR="00E414CC">
              <w:rPr>
                <w:rFonts w:asciiTheme="minorHAnsi" w:hAnsiTheme="minorHAnsi" w:cstheme="minorHAnsi"/>
              </w:rPr>
              <w:t>, tutors, LT</w:t>
            </w:r>
            <w:r w:rsidR="00711A68">
              <w:rPr>
                <w:rFonts w:asciiTheme="minorHAnsi" w:hAnsiTheme="minorHAnsi" w:cstheme="minorHAnsi"/>
              </w:rPr>
              <w:t xml:space="preserve"> &amp; PL</w:t>
            </w:r>
          </w:p>
        </w:tc>
      </w:tr>
      <w:tr w:rsidR="00756622" w:rsidTr="00E90867">
        <w:tc>
          <w:tcPr>
            <w:tcW w:w="845"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July</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Progress of AG&amp;T students m</w:t>
            </w:r>
            <w:r w:rsidR="00E90867">
              <w:rPr>
                <w:rFonts w:asciiTheme="minorHAnsi" w:hAnsiTheme="minorHAnsi" w:cstheme="minorHAnsi"/>
              </w:rPr>
              <w:t>onitored following Data Window 4</w:t>
            </w:r>
          </w:p>
        </w:tc>
        <w:tc>
          <w:tcPr>
            <w:tcW w:w="2049" w:type="dxa"/>
          </w:tcPr>
          <w:p w:rsidR="00756622" w:rsidRDefault="00E414CC" w:rsidP="00E02FC0">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Pr>
                <w:rFonts w:asciiTheme="minorHAnsi" w:hAnsiTheme="minorHAnsi" w:cstheme="minorHAnsi"/>
              </w:rPr>
              <w:t>, tutors, LT</w:t>
            </w:r>
            <w:r w:rsidR="00711A68">
              <w:rPr>
                <w:rFonts w:asciiTheme="minorHAnsi" w:hAnsiTheme="minorHAnsi" w:cstheme="minorHAnsi"/>
              </w:rPr>
              <w:t xml:space="preserve"> &amp; PL</w:t>
            </w:r>
          </w:p>
        </w:tc>
      </w:tr>
      <w:tr w:rsidR="00756622" w:rsidTr="00E90867">
        <w:tc>
          <w:tcPr>
            <w:tcW w:w="845" w:type="dxa"/>
          </w:tcPr>
          <w:p w:rsidR="00756622" w:rsidRDefault="00E414CC">
            <w:pPr>
              <w:spacing w:after="120" w:line="240" w:lineRule="auto"/>
              <w:jc w:val="both"/>
              <w:rPr>
                <w:rFonts w:asciiTheme="minorHAnsi" w:hAnsiTheme="minorHAnsi" w:cstheme="minorHAnsi"/>
                <w:sz w:val="24"/>
                <w:szCs w:val="24"/>
              </w:rPr>
            </w:pPr>
            <w:r>
              <w:rPr>
                <w:rFonts w:asciiTheme="minorHAnsi" w:hAnsiTheme="minorHAnsi" w:cstheme="minorHAnsi"/>
                <w:sz w:val="24"/>
                <w:szCs w:val="24"/>
              </w:rPr>
              <w:t>July</w:t>
            </w:r>
          </w:p>
        </w:tc>
        <w:tc>
          <w:tcPr>
            <w:tcW w:w="6484" w:type="dxa"/>
          </w:tcPr>
          <w:p w:rsidR="00756622" w:rsidRDefault="00E414CC">
            <w:pPr>
              <w:spacing w:after="120" w:line="240" w:lineRule="auto"/>
              <w:jc w:val="both"/>
              <w:rPr>
                <w:rFonts w:asciiTheme="minorHAnsi" w:hAnsiTheme="minorHAnsi" w:cstheme="minorHAnsi"/>
              </w:rPr>
            </w:pPr>
            <w:r>
              <w:rPr>
                <w:rFonts w:asciiTheme="minorHAnsi" w:hAnsiTheme="minorHAnsi" w:cstheme="minorHAnsi"/>
              </w:rPr>
              <w:t>AG&amp;T Policy reviewed and revised</w:t>
            </w:r>
          </w:p>
          <w:p w:rsidR="00756622" w:rsidRDefault="00E414CC">
            <w:pPr>
              <w:spacing w:after="120" w:line="240" w:lineRule="auto"/>
              <w:jc w:val="both"/>
              <w:rPr>
                <w:rFonts w:asciiTheme="minorHAnsi" w:hAnsiTheme="minorHAnsi" w:cstheme="minorHAnsi"/>
              </w:rPr>
            </w:pPr>
            <w:r>
              <w:rPr>
                <w:rFonts w:asciiTheme="minorHAnsi" w:hAnsiTheme="minorHAnsi" w:cstheme="minorHAnsi"/>
              </w:rPr>
              <w:t xml:space="preserve">AG&amp;T provision and resources reviewed and updated </w:t>
            </w:r>
          </w:p>
        </w:tc>
        <w:tc>
          <w:tcPr>
            <w:tcW w:w="2049" w:type="dxa"/>
          </w:tcPr>
          <w:p w:rsidR="00756622" w:rsidRDefault="00711A68">
            <w:pPr>
              <w:spacing w:after="120" w:line="240" w:lineRule="auto"/>
              <w:jc w:val="both"/>
              <w:rPr>
                <w:rFonts w:asciiTheme="minorHAnsi" w:hAnsiTheme="minorHAnsi" w:cstheme="minorHAnsi"/>
              </w:rPr>
            </w:pPr>
            <w:r>
              <w:rPr>
                <w:rFonts w:asciiTheme="minorHAnsi" w:hAnsiTheme="minorHAnsi" w:cstheme="minorHAnsi"/>
              </w:rPr>
              <w:t xml:space="preserve">AHT/DHT &amp; </w:t>
            </w:r>
            <w:r w:rsidR="00E414CC">
              <w:rPr>
                <w:rFonts w:asciiTheme="minorHAnsi" w:hAnsiTheme="minorHAnsi" w:cstheme="minorHAnsi"/>
              </w:rPr>
              <w:t>LT</w:t>
            </w:r>
          </w:p>
          <w:p w:rsidR="00756622" w:rsidRDefault="00E414CC">
            <w:pPr>
              <w:spacing w:after="120" w:line="240" w:lineRule="auto"/>
              <w:jc w:val="both"/>
              <w:rPr>
                <w:rFonts w:asciiTheme="minorHAnsi" w:hAnsiTheme="minorHAnsi" w:cstheme="minorHAnsi"/>
              </w:rPr>
            </w:pPr>
            <w:proofErr w:type="spellStart"/>
            <w:r>
              <w:rPr>
                <w:rFonts w:asciiTheme="minorHAnsi" w:hAnsiTheme="minorHAnsi" w:cstheme="minorHAnsi"/>
              </w:rPr>
              <w:t>HoFs</w:t>
            </w:r>
            <w:proofErr w:type="spellEnd"/>
            <w:r w:rsidR="00711A68">
              <w:rPr>
                <w:rFonts w:asciiTheme="minorHAnsi" w:hAnsiTheme="minorHAnsi" w:cstheme="minorHAnsi"/>
              </w:rPr>
              <w:t xml:space="preserve"> &amp; AG&amp;T </w:t>
            </w:r>
            <w:proofErr w:type="spellStart"/>
            <w:r w:rsidR="00711A68">
              <w:rPr>
                <w:rFonts w:asciiTheme="minorHAnsi" w:hAnsiTheme="minorHAnsi" w:cstheme="minorHAnsi"/>
              </w:rPr>
              <w:t>Coord</w:t>
            </w:r>
            <w:proofErr w:type="spellEnd"/>
          </w:p>
        </w:tc>
      </w:tr>
    </w:tbl>
    <w:p w:rsidR="00756622" w:rsidRDefault="00756622">
      <w:pPr>
        <w:spacing w:after="120" w:line="240" w:lineRule="auto"/>
        <w:jc w:val="both"/>
        <w:rPr>
          <w:rFonts w:asciiTheme="minorHAnsi" w:hAnsiTheme="minorHAnsi" w:cstheme="minorHAnsi"/>
          <w:sz w:val="24"/>
          <w:szCs w:val="24"/>
        </w:rPr>
        <w:sectPr w:rsidR="00756622">
          <w:footerReference w:type="default" r:id="rId20"/>
          <w:pgSz w:w="11906" w:h="16838" w:code="9"/>
          <w:pgMar w:top="1134" w:right="1134" w:bottom="1134" w:left="1134" w:header="709" w:footer="423" w:gutter="0"/>
          <w:cols w:space="708"/>
          <w:docGrid w:linePitch="360"/>
        </w:sectPr>
      </w:pPr>
    </w:p>
    <w:p w:rsidR="00756622" w:rsidRDefault="00E414CC">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lastRenderedPageBreak/>
        <w:t>Parents</w:t>
      </w:r>
      <w:r w:rsidR="00A01F8E">
        <w:rPr>
          <w:rFonts w:asciiTheme="minorHAnsi" w:hAnsiTheme="minorHAnsi" w:cstheme="minorHAnsi"/>
          <w:b/>
          <w:sz w:val="28"/>
          <w:szCs w:val="28"/>
        </w:rPr>
        <w:t xml:space="preserve"> and Communication</w:t>
      </w: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The AG&amp;T programme</w:t>
      </w:r>
      <w:r w:rsidR="00A01F8E">
        <w:rPr>
          <w:rFonts w:asciiTheme="minorHAnsi" w:hAnsiTheme="minorHAnsi" w:cstheme="minorHAnsi"/>
          <w:noProof/>
          <w:lang w:eastAsia="en-GB"/>
        </w:rPr>
        <w:t xml:space="preserve"> </w:t>
      </w:r>
      <w:r>
        <w:rPr>
          <w:rFonts w:asciiTheme="minorHAnsi" w:hAnsiTheme="minorHAnsi" w:cstheme="minorHAnsi"/>
          <w:noProof/>
          <w:lang w:eastAsia="en-GB"/>
        </w:rPr>
        <w:t>will be a three-way partnership at all times. Parents will be informed that CATS data, SATS data and staff recommendations have placed their children within the AG&amp;T cohort (‘tracking group’) and given details of the school’s approach towards Gifted and Talented students and the enrichment programme.</w:t>
      </w:r>
    </w:p>
    <w:p w:rsidR="00A01F8E" w:rsidRDefault="00A01F8E">
      <w:pPr>
        <w:spacing w:after="120" w:line="240" w:lineRule="auto"/>
        <w:jc w:val="both"/>
        <w:rPr>
          <w:rFonts w:asciiTheme="minorHAnsi" w:hAnsiTheme="minorHAnsi" w:cstheme="minorHAnsi"/>
          <w:noProof/>
          <w:color w:val="000000" w:themeColor="text1"/>
          <w:lang w:eastAsia="en-GB"/>
        </w:rPr>
      </w:pPr>
      <w:r>
        <w:rPr>
          <w:rFonts w:asciiTheme="minorHAnsi" w:hAnsiTheme="minorHAnsi" w:cstheme="minorHAnsi"/>
          <w:noProof/>
          <w:color w:val="000000" w:themeColor="text1"/>
          <w:lang w:eastAsia="en-GB"/>
        </w:rPr>
        <w:t xml:space="preserve">Parents of </w:t>
      </w:r>
      <w:r w:rsidRPr="00A01F8E">
        <w:rPr>
          <w:rFonts w:asciiTheme="minorHAnsi" w:hAnsiTheme="minorHAnsi" w:cstheme="minorHAnsi"/>
          <w:noProof/>
          <w:color w:val="000000" w:themeColor="text1"/>
          <w:lang w:eastAsia="en-GB"/>
        </w:rPr>
        <w:t>Year 7 students who have been in allocated to the AG&amp;T tracking grou</w:t>
      </w:r>
      <w:r>
        <w:rPr>
          <w:rFonts w:asciiTheme="minorHAnsi" w:hAnsiTheme="minorHAnsi" w:cstheme="minorHAnsi"/>
          <w:noProof/>
          <w:color w:val="000000" w:themeColor="text1"/>
          <w:lang w:eastAsia="en-GB"/>
        </w:rPr>
        <w:t xml:space="preserve">p will be informed in writing by January at the latest. </w:t>
      </w:r>
    </w:p>
    <w:p w:rsidR="00A01F8E" w:rsidRPr="00A01F8E" w:rsidRDefault="00A01F8E">
      <w:pPr>
        <w:spacing w:after="120" w:line="240" w:lineRule="auto"/>
        <w:jc w:val="both"/>
        <w:rPr>
          <w:rFonts w:asciiTheme="minorHAnsi" w:hAnsiTheme="minorHAnsi" w:cstheme="minorHAnsi"/>
          <w:noProof/>
          <w:color w:val="000000" w:themeColor="text1"/>
          <w:lang w:eastAsia="en-GB"/>
        </w:rPr>
      </w:pPr>
      <w:r w:rsidRPr="00A01F8E">
        <w:rPr>
          <w:rFonts w:asciiTheme="minorHAnsi" w:hAnsiTheme="minorHAnsi" w:cstheme="minorHAnsi"/>
          <w:noProof/>
          <w:color w:val="000000" w:themeColor="text1"/>
          <w:lang w:eastAsia="en-GB"/>
        </w:rPr>
        <w:t>Year 7 s</w:t>
      </w:r>
      <w:r w:rsidR="00197904" w:rsidRPr="00A01F8E">
        <w:rPr>
          <w:rFonts w:asciiTheme="minorHAnsi" w:hAnsiTheme="minorHAnsi" w:cstheme="minorHAnsi"/>
          <w:noProof/>
          <w:color w:val="000000" w:themeColor="text1"/>
          <w:lang w:eastAsia="en-GB"/>
        </w:rPr>
        <w:t xml:space="preserve">tudents who have been in </w:t>
      </w:r>
      <w:r w:rsidRPr="00A01F8E">
        <w:rPr>
          <w:rFonts w:asciiTheme="minorHAnsi" w:hAnsiTheme="minorHAnsi" w:cstheme="minorHAnsi"/>
          <w:noProof/>
          <w:color w:val="000000" w:themeColor="text1"/>
          <w:lang w:eastAsia="en-GB"/>
        </w:rPr>
        <w:t xml:space="preserve">allocated to the AG&amp;T </w:t>
      </w:r>
      <w:r w:rsidR="00197904" w:rsidRPr="00A01F8E">
        <w:rPr>
          <w:rFonts w:asciiTheme="minorHAnsi" w:hAnsiTheme="minorHAnsi" w:cstheme="minorHAnsi"/>
          <w:noProof/>
          <w:color w:val="000000" w:themeColor="text1"/>
          <w:lang w:eastAsia="en-GB"/>
        </w:rPr>
        <w:t>tracking grou</w:t>
      </w:r>
      <w:r w:rsidRPr="00A01F8E">
        <w:rPr>
          <w:rFonts w:asciiTheme="minorHAnsi" w:hAnsiTheme="minorHAnsi" w:cstheme="minorHAnsi"/>
          <w:noProof/>
          <w:color w:val="000000" w:themeColor="text1"/>
          <w:lang w:eastAsia="en-GB"/>
        </w:rPr>
        <w:t xml:space="preserve">p, </w:t>
      </w:r>
      <w:r w:rsidR="00197904" w:rsidRPr="00A01F8E">
        <w:rPr>
          <w:rFonts w:asciiTheme="minorHAnsi" w:hAnsiTheme="minorHAnsi" w:cstheme="minorHAnsi"/>
          <w:noProof/>
          <w:color w:val="000000" w:themeColor="text1"/>
          <w:lang w:eastAsia="en-GB"/>
        </w:rPr>
        <w:t>and their parents</w:t>
      </w:r>
      <w:r w:rsidRPr="00A01F8E">
        <w:rPr>
          <w:rFonts w:asciiTheme="minorHAnsi" w:hAnsiTheme="minorHAnsi" w:cstheme="minorHAnsi"/>
          <w:noProof/>
          <w:color w:val="000000" w:themeColor="text1"/>
          <w:lang w:eastAsia="en-GB"/>
        </w:rPr>
        <w:t>, w</w:t>
      </w:r>
      <w:r w:rsidR="00197904" w:rsidRPr="00A01F8E">
        <w:rPr>
          <w:rFonts w:asciiTheme="minorHAnsi" w:hAnsiTheme="minorHAnsi" w:cstheme="minorHAnsi"/>
          <w:noProof/>
          <w:color w:val="000000" w:themeColor="text1"/>
          <w:lang w:eastAsia="en-GB"/>
        </w:rPr>
        <w:t xml:space="preserve">ill be invited to a AG&amp;T </w:t>
      </w:r>
      <w:r w:rsidRPr="00A01F8E">
        <w:rPr>
          <w:rFonts w:asciiTheme="minorHAnsi" w:hAnsiTheme="minorHAnsi" w:cstheme="minorHAnsi"/>
          <w:noProof/>
          <w:color w:val="000000" w:themeColor="text1"/>
          <w:lang w:eastAsia="en-GB"/>
        </w:rPr>
        <w:t xml:space="preserve">information event. This is an opportunity </w:t>
      </w:r>
      <w:r>
        <w:rPr>
          <w:rFonts w:asciiTheme="minorHAnsi" w:hAnsiTheme="minorHAnsi" w:cstheme="minorHAnsi"/>
          <w:noProof/>
          <w:color w:val="000000" w:themeColor="text1"/>
          <w:lang w:eastAsia="en-GB"/>
        </w:rPr>
        <w:t>for</w:t>
      </w:r>
      <w:r w:rsidRPr="00A01F8E">
        <w:rPr>
          <w:rFonts w:asciiTheme="minorHAnsi" w:hAnsiTheme="minorHAnsi" w:cstheme="minorHAnsi"/>
          <w:noProof/>
          <w:color w:val="000000" w:themeColor="text1"/>
          <w:lang w:eastAsia="en-GB"/>
        </w:rPr>
        <w:t>:</w:t>
      </w:r>
    </w:p>
    <w:p w:rsidR="00A01F8E" w:rsidRPr="00A01F8E" w:rsidRDefault="00A01F8E" w:rsidP="00A01F8E">
      <w:pPr>
        <w:numPr>
          <w:ilvl w:val="0"/>
          <w:numId w:val="19"/>
        </w:numPr>
        <w:spacing w:after="0" w:line="240" w:lineRule="auto"/>
        <w:rPr>
          <w:rFonts w:cs="Tahoma"/>
        </w:rPr>
      </w:pPr>
      <w:r>
        <w:rPr>
          <w:rFonts w:cs="Tahoma"/>
        </w:rPr>
        <w:t xml:space="preserve">explain </w:t>
      </w:r>
      <w:r w:rsidRPr="00A01F8E">
        <w:rPr>
          <w:rFonts w:cs="Tahoma"/>
        </w:rPr>
        <w:t xml:space="preserve">what it means to be </w:t>
      </w:r>
      <w:r>
        <w:rPr>
          <w:rFonts w:cs="Tahoma"/>
        </w:rPr>
        <w:t xml:space="preserve">in the </w:t>
      </w:r>
      <w:r w:rsidRPr="00A01F8E">
        <w:rPr>
          <w:rFonts w:cs="Tahoma"/>
        </w:rPr>
        <w:t>AG&amp;T</w:t>
      </w:r>
      <w:r>
        <w:rPr>
          <w:rFonts w:cs="Tahoma"/>
        </w:rPr>
        <w:t xml:space="preserve"> tracking group</w:t>
      </w:r>
      <w:r w:rsidRPr="00A01F8E">
        <w:rPr>
          <w:rFonts w:cs="Tahoma"/>
        </w:rPr>
        <w:t xml:space="preserve"> </w:t>
      </w:r>
    </w:p>
    <w:p w:rsidR="00A01F8E" w:rsidRPr="00A01F8E" w:rsidRDefault="00A01F8E" w:rsidP="00A01F8E">
      <w:pPr>
        <w:numPr>
          <w:ilvl w:val="0"/>
          <w:numId w:val="19"/>
        </w:numPr>
        <w:spacing w:after="0" w:line="240" w:lineRule="auto"/>
        <w:rPr>
          <w:rFonts w:cs="Tahoma"/>
        </w:rPr>
      </w:pPr>
      <w:r>
        <w:rPr>
          <w:rFonts w:cs="Tahoma"/>
        </w:rPr>
        <w:t xml:space="preserve">outline </w:t>
      </w:r>
      <w:r w:rsidRPr="00A01F8E">
        <w:rPr>
          <w:rFonts w:cs="Tahoma"/>
        </w:rPr>
        <w:t>key points of this AG&amp;T policy</w:t>
      </w:r>
    </w:p>
    <w:p w:rsidR="00A01F8E" w:rsidRPr="00A01F8E" w:rsidRDefault="00A01F8E" w:rsidP="00A01F8E">
      <w:pPr>
        <w:numPr>
          <w:ilvl w:val="0"/>
          <w:numId w:val="19"/>
        </w:numPr>
        <w:spacing w:after="0" w:line="240" w:lineRule="auto"/>
        <w:rPr>
          <w:rFonts w:cs="Tahoma"/>
        </w:rPr>
      </w:pPr>
      <w:r>
        <w:rPr>
          <w:rFonts w:cs="Tahoma"/>
        </w:rPr>
        <w:t xml:space="preserve">promote </w:t>
      </w:r>
      <w:r w:rsidRPr="00A01F8E">
        <w:rPr>
          <w:rFonts w:cs="Tahoma"/>
        </w:rPr>
        <w:t>the school’s provision, both in lessons and extra-curricular / enrichment</w:t>
      </w:r>
    </w:p>
    <w:p w:rsidR="00756622" w:rsidRDefault="00A01F8E" w:rsidP="00A01F8E">
      <w:pPr>
        <w:numPr>
          <w:ilvl w:val="0"/>
          <w:numId w:val="19"/>
        </w:numPr>
        <w:spacing w:after="0" w:line="240" w:lineRule="auto"/>
        <w:rPr>
          <w:rFonts w:cs="Tahoma"/>
        </w:rPr>
      </w:pPr>
      <w:r>
        <w:rPr>
          <w:rFonts w:cs="Tahoma"/>
        </w:rPr>
        <w:t xml:space="preserve">discuss </w:t>
      </w:r>
      <w:r w:rsidRPr="00A01F8E">
        <w:rPr>
          <w:rFonts w:cs="Tahoma"/>
        </w:rPr>
        <w:t>expectations and targets for AG&amp;T students</w:t>
      </w:r>
    </w:p>
    <w:p w:rsidR="00A01F8E" w:rsidRDefault="00A01F8E" w:rsidP="00A01F8E">
      <w:pPr>
        <w:numPr>
          <w:ilvl w:val="0"/>
          <w:numId w:val="19"/>
        </w:numPr>
        <w:spacing w:after="0" w:line="240" w:lineRule="auto"/>
        <w:rPr>
          <w:rFonts w:cs="Tahoma"/>
        </w:rPr>
      </w:pPr>
      <w:r>
        <w:rPr>
          <w:rFonts w:cs="Tahoma"/>
        </w:rPr>
        <w:t>explain how parents can support their child’s progress</w:t>
      </w:r>
    </w:p>
    <w:p w:rsidR="00A01F8E" w:rsidRPr="00A01F8E" w:rsidRDefault="00A01F8E" w:rsidP="00A01F8E">
      <w:pPr>
        <w:numPr>
          <w:ilvl w:val="0"/>
          <w:numId w:val="19"/>
        </w:numPr>
        <w:spacing w:after="0" w:line="240" w:lineRule="auto"/>
        <w:rPr>
          <w:rFonts w:cs="Tahoma"/>
        </w:rPr>
      </w:pPr>
      <w:r>
        <w:rPr>
          <w:rFonts w:cs="Tahoma"/>
        </w:rPr>
        <w:t>parents and students to ask questions about the school’s approach</w:t>
      </w:r>
    </w:p>
    <w:p w:rsidR="00C600F4" w:rsidRDefault="00C600F4">
      <w:pPr>
        <w:spacing w:after="120" w:line="240" w:lineRule="auto"/>
        <w:jc w:val="both"/>
        <w:rPr>
          <w:rFonts w:asciiTheme="minorHAnsi" w:hAnsiTheme="minorHAnsi" w:cstheme="minorHAnsi"/>
          <w:noProof/>
          <w:lang w:eastAsia="en-GB"/>
        </w:rPr>
      </w:pP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Occasionally, it is possible that parents will not wish their child to be part of the programme and will inform the school of their decision.</w:t>
      </w:r>
    </w:p>
    <w:p w:rsidR="00A01F8E" w:rsidRDefault="00A01F8E">
      <w:pPr>
        <w:spacing w:after="120" w:line="240" w:lineRule="auto"/>
        <w:jc w:val="both"/>
        <w:rPr>
          <w:rFonts w:asciiTheme="minorHAnsi" w:hAnsiTheme="minorHAnsi" w:cstheme="minorHAnsi"/>
          <w:noProof/>
          <w:lang w:eastAsia="en-GB"/>
        </w:rPr>
      </w:pPr>
    </w:p>
    <w:p w:rsidR="00756622" w:rsidRDefault="00E414CC">
      <w:pPr>
        <w:spacing w:after="120" w:line="240" w:lineRule="auto"/>
        <w:jc w:val="both"/>
        <w:rPr>
          <w:rFonts w:asciiTheme="minorHAnsi" w:hAnsiTheme="minorHAnsi" w:cstheme="minorHAnsi"/>
          <w:noProof/>
          <w:lang w:eastAsia="en-GB"/>
        </w:rPr>
      </w:pPr>
      <w:r>
        <w:rPr>
          <w:rFonts w:asciiTheme="minorHAnsi" w:hAnsiTheme="minorHAnsi" w:cstheme="minorHAnsi"/>
          <w:noProof/>
          <w:lang w:eastAsia="en-GB"/>
        </w:rPr>
        <w:t>The school will publish the following on the school website:</w:t>
      </w:r>
    </w:p>
    <w:p w:rsidR="00756622" w:rsidRDefault="00E414CC">
      <w:pPr>
        <w:numPr>
          <w:ilvl w:val="0"/>
          <w:numId w:val="19"/>
        </w:numPr>
        <w:spacing w:after="0" w:line="240" w:lineRule="auto"/>
        <w:rPr>
          <w:rFonts w:cs="Tahoma"/>
        </w:rPr>
      </w:pPr>
      <w:r>
        <w:rPr>
          <w:rFonts w:cs="Tahoma"/>
        </w:rPr>
        <w:t>This policy document</w:t>
      </w:r>
    </w:p>
    <w:p w:rsidR="00756622" w:rsidRDefault="00E414CC">
      <w:pPr>
        <w:numPr>
          <w:ilvl w:val="0"/>
          <w:numId w:val="19"/>
        </w:numPr>
        <w:spacing w:after="0" w:line="240" w:lineRule="auto"/>
        <w:rPr>
          <w:rFonts w:cs="Tahoma"/>
        </w:rPr>
      </w:pPr>
      <w:r>
        <w:rPr>
          <w:rFonts w:cs="Tahoma"/>
        </w:rPr>
        <w:t>Faculty provision statements for each subject</w:t>
      </w:r>
    </w:p>
    <w:p w:rsidR="00756622" w:rsidRDefault="00E414CC">
      <w:pPr>
        <w:numPr>
          <w:ilvl w:val="0"/>
          <w:numId w:val="19"/>
        </w:numPr>
        <w:spacing w:after="0" w:line="240" w:lineRule="auto"/>
        <w:rPr>
          <w:rFonts w:cs="Tahoma"/>
        </w:rPr>
      </w:pPr>
      <w:r>
        <w:rPr>
          <w:rFonts w:cs="Tahoma"/>
        </w:rPr>
        <w:t>News regarding recent and upcoming events</w:t>
      </w:r>
    </w:p>
    <w:p w:rsidR="00756622" w:rsidRDefault="00756622">
      <w:pPr>
        <w:spacing w:after="0" w:line="240" w:lineRule="auto"/>
        <w:rPr>
          <w:rFonts w:cs="Tahoma"/>
        </w:rPr>
      </w:pPr>
    </w:p>
    <w:p w:rsidR="00756622" w:rsidRDefault="00756622">
      <w:pPr>
        <w:spacing w:after="0" w:line="240" w:lineRule="auto"/>
        <w:rPr>
          <w:rFonts w:cs="Tahoma"/>
        </w:rPr>
      </w:pPr>
    </w:p>
    <w:p w:rsidR="00756622" w:rsidRDefault="00756622">
      <w:pPr>
        <w:spacing w:after="0" w:line="240" w:lineRule="auto"/>
        <w:rPr>
          <w:rFonts w:cs="Tahoma"/>
        </w:rPr>
      </w:pPr>
    </w:p>
    <w:p w:rsidR="00756622" w:rsidRDefault="00756622">
      <w:pPr>
        <w:spacing w:after="120" w:line="240" w:lineRule="auto"/>
        <w:jc w:val="both"/>
        <w:rPr>
          <w:rFonts w:asciiTheme="minorHAnsi" w:hAnsiTheme="minorHAnsi" w:cstheme="minorHAnsi"/>
          <w:noProof/>
          <w:lang w:eastAsia="en-GB"/>
        </w:rPr>
      </w:pPr>
    </w:p>
    <w:p w:rsidR="00756622" w:rsidRDefault="00756622">
      <w:pPr>
        <w:spacing w:after="120" w:line="240" w:lineRule="auto"/>
        <w:jc w:val="both"/>
        <w:rPr>
          <w:rFonts w:asciiTheme="minorHAnsi" w:hAnsiTheme="minorHAnsi" w:cstheme="minorHAnsi"/>
          <w:noProof/>
          <w:lang w:eastAsia="en-GB"/>
        </w:rPr>
      </w:pPr>
    </w:p>
    <w:p w:rsidR="00A01F8E" w:rsidRDefault="00A01F8E" w:rsidP="00A01F8E">
      <w:pPr>
        <w:pStyle w:val="ListParagraph"/>
        <w:numPr>
          <w:ilvl w:val="0"/>
          <w:numId w:val="25"/>
        </w:numPr>
        <w:shd w:val="clear" w:color="auto" w:fill="FFFFFF"/>
        <w:spacing w:after="120" w:line="240" w:lineRule="auto"/>
        <w:ind w:left="426" w:hanging="426"/>
        <w:outlineLvl w:val="2"/>
        <w:rPr>
          <w:rFonts w:asciiTheme="minorHAnsi" w:hAnsiTheme="minorHAnsi" w:cstheme="minorHAnsi"/>
          <w:b/>
          <w:sz w:val="28"/>
          <w:szCs w:val="28"/>
        </w:rPr>
      </w:pPr>
      <w:r>
        <w:rPr>
          <w:rFonts w:asciiTheme="minorHAnsi" w:hAnsiTheme="minorHAnsi" w:cstheme="minorHAnsi"/>
          <w:b/>
          <w:sz w:val="28"/>
          <w:szCs w:val="28"/>
        </w:rPr>
        <w:t>Other documentation</w:t>
      </w:r>
    </w:p>
    <w:p w:rsidR="00A01F8E" w:rsidRDefault="00A01F8E" w:rsidP="00A01F8E">
      <w:pPr>
        <w:shd w:val="clear" w:color="auto" w:fill="FFFFFF"/>
        <w:spacing w:after="120" w:line="240" w:lineRule="auto"/>
        <w:outlineLvl w:val="2"/>
        <w:rPr>
          <w:rFonts w:asciiTheme="minorHAnsi" w:hAnsiTheme="minorHAnsi" w:cstheme="minorHAnsi"/>
          <w:b/>
          <w:sz w:val="28"/>
          <w:szCs w:val="28"/>
        </w:rPr>
      </w:pPr>
    </w:p>
    <w:p w:rsidR="00A01F8E" w:rsidRPr="00D12A97" w:rsidRDefault="00A01F8E" w:rsidP="00D12A97">
      <w:pPr>
        <w:spacing w:after="120" w:line="240" w:lineRule="auto"/>
        <w:jc w:val="both"/>
        <w:rPr>
          <w:rFonts w:asciiTheme="minorHAnsi" w:hAnsiTheme="minorHAnsi" w:cstheme="minorHAnsi"/>
          <w:noProof/>
          <w:lang w:eastAsia="en-GB"/>
        </w:rPr>
      </w:pPr>
      <w:r w:rsidRPr="00D12A97">
        <w:rPr>
          <w:rFonts w:asciiTheme="minorHAnsi" w:hAnsiTheme="minorHAnsi" w:cstheme="minorHAnsi"/>
          <w:noProof/>
          <w:lang w:eastAsia="en-GB"/>
        </w:rPr>
        <w:t>See below for:</w:t>
      </w:r>
    </w:p>
    <w:p w:rsidR="00A01F8E" w:rsidRPr="00D12A97" w:rsidRDefault="00A01F8E" w:rsidP="00D12A97">
      <w:pPr>
        <w:numPr>
          <w:ilvl w:val="0"/>
          <w:numId w:val="19"/>
        </w:numPr>
        <w:spacing w:after="0" w:line="240" w:lineRule="auto"/>
        <w:rPr>
          <w:rFonts w:cs="Tahoma"/>
        </w:rPr>
      </w:pPr>
      <w:r w:rsidRPr="00D12A97">
        <w:rPr>
          <w:rFonts w:cs="Tahoma"/>
        </w:rPr>
        <w:t>the ECS AG&amp;T Faculty Provision Statement template</w:t>
      </w:r>
    </w:p>
    <w:p w:rsidR="00A01F8E" w:rsidRPr="00D12A97" w:rsidRDefault="00A01F8E" w:rsidP="00D12A97">
      <w:pPr>
        <w:numPr>
          <w:ilvl w:val="0"/>
          <w:numId w:val="19"/>
        </w:numPr>
        <w:spacing w:after="0" w:line="240" w:lineRule="auto"/>
        <w:rPr>
          <w:rFonts w:cs="Tahoma"/>
        </w:rPr>
      </w:pPr>
      <w:r w:rsidRPr="00D12A97">
        <w:rPr>
          <w:rFonts w:cs="Tahoma"/>
        </w:rPr>
        <w:t>AG&amp;T data analysis template for class teachers</w:t>
      </w:r>
    </w:p>
    <w:p w:rsidR="00756622" w:rsidRDefault="00E414C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756622" w:rsidRDefault="00756622">
      <w:pPr>
        <w:spacing w:after="120" w:line="240" w:lineRule="auto"/>
        <w:jc w:val="both"/>
        <w:rPr>
          <w:rFonts w:asciiTheme="minorHAnsi" w:hAnsiTheme="minorHAnsi" w:cstheme="minorHAnsi"/>
          <w:sz w:val="24"/>
          <w:szCs w:val="24"/>
        </w:rPr>
        <w:sectPr w:rsidR="00756622">
          <w:footerReference w:type="default" r:id="rId21"/>
          <w:pgSz w:w="11906" w:h="16838"/>
          <w:pgMar w:top="1134" w:right="1134" w:bottom="1134" w:left="1134" w:header="708" w:footer="708" w:gutter="0"/>
          <w:cols w:space="708"/>
          <w:docGrid w:linePitch="360"/>
        </w:sectPr>
      </w:pPr>
    </w:p>
    <w:tbl>
      <w:tblPr>
        <w:tblStyle w:val="TableGrid"/>
        <w:tblW w:w="14850" w:type="dxa"/>
        <w:tblLook w:val="04A0" w:firstRow="1" w:lastRow="0" w:firstColumn="1" w:lastColumn="0" w:noHBand="0" w:noVBand="1"/>
      </w:tblPr>
      <w:tblGrid>
        <w:gridCol w:w="4928"/>
        <w:gridCol w:w="4961"/>
        <w:gridCol w:w="4961"/>
      </w:tblGrid>
      <w:tr w:rsidR="00756622">
        <w:tc>
          <w:tcPr>
            <w:tcW w:w="14850" w:type="dxa"/>
            <w:gridSpan w:val="3"/>
            <w:tcBorders>
              <w:top w:val="single" w:sz="24" w:space="0" w:color="auto"/>
              <w:left w:val="single" w:sz="24" w:space="0" w:color="auto"/>
              <w:bottom w:val="single" w:sz="24" w:space="0" w:color="auto"/>
              <w:right w:val="single" w:sz="24" w:space="0" w:color="auto"/>
            </w:tcBorders>
          </w:tcPr>
          <w:p w:rsidR="00756622" w:rsidRDefault="00E414CC" w:rsidP="008B30FA">
            <w:pPr>
              <w:spacing w:after="0" w:line="240" w:lineRule="auto"/>
              <w:rPr>
                <w:b/>
                <w:i/>
              </w:rPr>
            </w:pPr>
            <w:r>
              <w:rPr>
                <w:b/>
                <w:i/>
              </w:rPr>
              <w:lastRenderedPageBreak/>
              <w:t>ECS AG&amp;T Faculty Provision Statement 201</w:t>
            </w:r>
            <w:r w:rsidR="008B30FA">
              <w:rPr>
                <w:b/>
                <w:i/>
              </w:rPr>
              <w:t>7-18</w:t>
            </w:r>
          </w:p>
        </w:tc>
      </w:tr>
      <w:tr w:rsidR="00756622">
        <w:tc>
          <w:tcPr>
            <w:tcW w:w="4928" w:type="dxa"/>
            <w:tcBorders>
              <w:top w:val="single" w:sz="24" w:space="0" w:color="auto"/>
              <w:left w:val="single" w:sz="24" w:space="0" w:color="auto"/>
              <w:bottom w:val="single" w:sz="24" w:space="0" w:color="auto"/>
              <w:right w:val="single" w:sz="24" w:space="0" w:color="auto"/>
            </w:tcBorders>
          </w:tcPr>
          <w:p w:rsidR="00756622" w:rsidRDefault="00E414CC">
            <w:pPr>
              <w:spacing w:after="0" w:line="240" w:lineRule="auto"/>
              <w:rPr>
                <w:b/>
              </w:rPr>
            </w:pPr>
            <w:r>
              <w:rPr>
                <w:b/>
              </w:rPr>
              <w:t>Subject:</w:t>
            </w:r>
          </w:p>
          <w:p w:rsidR="00756622" w:rsidRDefault="00756622">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rsidR="00756622" w:rsidRDefault="00E414CC">
            <w:pPr>
              <w:spacing w:after="0" w:line="240" w:lineRule="auto"/>
              <w:rPr>
                <w:b/>
              </w:rPr>
            </w:pPr>
            <w:r>
              <w:rPr>
                <w:b/>
              </w:rPr>
              <w:t>Faculty:</w:t>
            </w:r>
          </w:p>
        </w:tc>
        <w:tc>
          <w:tcPr>
            <w:tcW w:w="4961" w:type="dxa"/>
            <w:tcBorders>
              <w:top w:val="single" w:sz="24" w:space="0" w:color="auto"/>
              <w:left w:val="single" w:sz="24" w:space="0" w:color="auto"/>
              <w:bottom w:val="single" w:sz="24" w:space="0" w:color="auto"/>
              <w:right w:val="single" w:sz="24" w:space="0" w:color="auto"/>
            </w:tcBorders>
          </w:tcPr>
          <w:p w:rsidR="00756622" w:rsidRDefault="00E414CC">
            <w:pPr>
              <w:spacing w:after="0" w:line="240" w:lineRule="auto"/>
              <w:rPr>
                <w:b/>
              </w:rPr>
            </w:pPr>
            <w:r>
              <w:rPr>
                <w:b/>
              </w:rPr>
              <w:t>Teacher i/c AG&amp;T:</w:t>
            </w:r>
          </w:p>
        </w:tc>
      </w:tr>
      <w:tr w:rsidR="00756622">
        <w:tc>
          <w:tcPr>
            <w:tcW w:w="14850" w:type="dxa"/>
            <w:gridSpan w:val="3"/>
            <w:tcBorders>
              <w:left w:val="single" w:sz="24" w:space="0" w:color="auto"/>
              <w:right w:val="single" w:sz="24" w:space="0" w:color="auto"/>
            </w:tcBorders>
          </w:tcPr>
          <w:p w:rsidR="00756622" w:rsidRDefault="00E414CC">
            <w:pPr>
              <w:spacing w:after="0" w:line="240" w:lineRule="auto"/>
              <w:rPr>
                <w:b/>
              </w:rPr>
            </w:pPr>
            <w:r>
              <w:rPr>
                <w:b/>
              </w:rPr>
              <w:t>Philosophy and Definition of a ‘gifted’ / ‘talented’ student:</w:t>
            </w:r>
          </w:p>
          <w:p w:rsidR="00756622" w:rsidRDefault="00756622">
            <w:pPr>
              <w:spacing w:after="0" w:line="240" w:lineRule="auto"/>
              <w:rPr>
                <w:b/>
                <w:sz w:val="20"/>
                <w:szCs w:val="20"/>
              </w:rPr>
            </w:pPr>
          </w:p>
          <w:p w:rsidR="00756622" w:rsidRDefault="00756622">
            <w:pPr>
              <w:spacing w:after="0" w:line="240" w:lineRule="auto"/>
              <w:rPr>
                <w:b/>
                <w:sz w:val="20"/>
                <w:szCs w:val="20"/>
              </w:rPr>
            </w:pPr>
          </w:p>
          <w:p w:rsidR="00756622" w:rsidRDefault="00756622">
            <w:pPr>
              <w:spacing w:after="0" w:line="240" w:lineRule="auto"/>
              <w:rPr>
                <w:b/>
                <w:sz w:val="20"/>
                <w:szCs w:val="20"/>
              </w:rPr>
            </w:pPr>
          </w:p>
          <w:p w:rsidR="00756622" w:rsidRDefault="00756622">
            <w:pPr>
              <w:spacing w:after="0" w:line="240" w:lineRule="auto"/>
              <w:rPr>
                <w:b/>
              </w:rPr>
            </w:pPr>
          </w:p>
        </w:tc>
      </w:tr>
      <w:tr w:rsidR="00756622">
        <w:trPr>
          <w:trHeight w:val="1373"/>
        </w:trPr>
        <w:tc>
          <w:tcPr>
            <w:tcW w:w="4928" w:type="dxa"/>
            <w:tcBorders>
              <w:top w:val="single" w:sz="24" w:space="0" w:color="auto"/>
              <w:left w:val="single" w:sz="24" w:space="0" w:color="auto"/>
            </w:tcBorders>
          </w:tcPr>
          <w:p w:rsidR="00756622" w:rsidRDefault="00E414CC">
            <w:pPr>
              <w:spacing w:after="0" w:line="240" w:lineRule="auto"/>
              <w:rPr>
                <w:b/>
              </w:rPr>
            </w:pPr>
            <w:r>
              <w:rPr>
                <w:b/>
              </w:rPr>
              <w:t>Teaching and learning strategies: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Setting arrangements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Schemes of work</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Differentiation</w:t>
            </w:r>
          </w:p>
          <w:p w:rsidR="00756622" w:rsidRDefault="00E414CC">
            <w:pPr>
              <w:pStyle w:val="ListParagraph"/>
              <w:numPr>
                <w:ilvl w:val="0"/>
                <w:numId w:val="30"/>
              </w:numPr>
              <w:spacing w:after="0" w:line="240" w:lineRule="auto"/>
              <w:ind w:left="426" w:hanging="284"/>
              <w:contextualSpacing w:val="0"/>
            </w:pPr>
            <w:r>
              <w:rPr>
                <w:sz w:val="20"/>
                <w:szCs w:val="20"/>
              </w:rPr>
              <w:t>Teaching approaches / activities</w:t>
            </w:r>
          </w:p>
        </w:tc>
        <w:tc>
          <w:tcPr>
            <w:tcW w:w="4961" w:type="dxa"/>
            <w:tcBorders>
              <w:top w:val="single" w:sz="24" w:space="0" w:color="auto"/>
            </w:tcBorders>
          </w:tcPr>
          <w:p w:rsidR="00756622" w:rsidRDefault="00E414CC">
            <w:pPr>
              <w:spacing w:after="0" w:line="240" w:lineRule="auto"/>
              <w:rPr>
                <w:b/>
              </w:rPr>
            </w:pPr>
            <w:r>
              <w:rPr>
                <w:b/>
              </w:rPr>
              <w:t>AG&amp;T Resources audit:</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Textbooks</w:t>
            </w:r>
          </w:p>
          <w:p w:rsidR="00756622" w:rsidRDefault="00D12A97">
            <w:pPr>
              <w:pStyle w:val="ListParagraph"/>
              <w:numPr>
                <w:ilvl w:val="0"/>
                <w:numId w:val="30"/>
              </w:numPr>
              <w:spacing w:after="0" w:line="240" w:lineRule="auto"/>
              <w:ind w:left="426" w:hanging="284"/>
              <w:contextualSpacing w:val="0"/>
              <w:rPr>
                <w:sz w:val="20"/>
                <w:szCs w:val="20"/>
              </w:rPr>
            </w:pPr>
            <w:r>
              <w:rPr>
                <w:sz w:val="20"/>
                <w:szCs w:val="20"/>
              </w:rPr>
              <w:t>ICT resources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Websites</w:t>
            </w:r>
          </w:p>
          <w:p w:rsidR="00756622" w:rsidRDefault="00E414CC">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rsidR="00756622" w:rsidRDefault="00E414CC">
            <w:pPr>
              <w:spacing w:after="0" w:line="240" w:lineRule="auto"/>
              <w:rPr>
                <w:b/>
              </w:rPr>
            </w:pPr>
            <w:r>
              <w:rPr>
                <w:b/>
              </w:rPr>
              <w:t>ECS extra-curricular activities: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After-school / lunchtime clubs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Competitions</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 xml:space="preserve">Educational visits </w:t>
            </w:r>
          </w:p>
          <w:p w:rsidR="00756622" w:rsidRDefault="00E414CC">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756622">
        <w:trPr>
          <w:trHeight w:val="4667"/>
        </w:trPr>
        <w:tc>
          <w:tcPr>
            <w:tcW w:w="4928" w:type="dxa"/>
            <w:tcBorders>
              <w:left w:val="single" w:sz="24" w:space="0" w:color="auto"/>
              <w:bottom w:val="single" w:sz="24" w:space="0" w:color="auto"/>
            </w:tcBorders>
          </w:tcPr>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p w:rsidR="00756622" w:rsidRDefault="00756622">
            <w:pPr>
              <w:spacing w:after="0" w:line="240" w:lineRule="auto"/>
              <w:rPr>
                <w:sz w:val="20"/>
                <w:szCs w:val="20"/>
              </w:rPr>
            </w:pPr>
          </w:p>
        </w:tc>
        <w:tc>
          <w:tcPr>
            <w:tcW w:w="4961" w:type="dxa"/>
            <w:tcBorders>
              <w:bottom w:val="single" w:sz="24" w:space="0" w:color="auto"/>
            </w:tcBorders>
          </w:tcPr>
          <w:p w:rsidR="00756622" w:rsidRDefault="00756622">
            <w:pPr>
              <w:spacing w:after="0" w:line="240" w:lineRule="auto"/>
              <w:rPr>
                <w:sz w:val="20"/>
                <w:szCs w:val="20"/>
              </w:rPr>
            </w:pPr>
          </w:p>
        </w:tc>
        <w:tc>
          <w:tcPr>
            <w:tcW w:w="4961" w:type="dxa"/>
            <w:tcBorders>
              <w:bottom w:val="single" w:sz="24" w:space="0" w:color="auto"/>
              <w:right w:val="single" w:sz="24" w:space="0" w:color="auto"/>
            </w:tcBorders>
          </w:tcPr>
          <w:p w:rsidR="00756622" w:rsidRDefault="00756622">
            <w:pPr>
              <w:spacing w:after="0" w:line="240" w:lineRule="auto"/>
              <w:rPr>
                <w:sz w:val="20"/>
                <w:szCs w:val="20"/>
              </w:rPr>
            </w:pPr>
          </w:p>
        </w:tc>
      </w:tr>
    </w:tbl>
    <w:p w:rsidR="00756622" w:rsidRDefault="00756622">
      <w:pPr>
        <w:spacing w:after="0" w:line="240" w:lineRule="auto"/>
        <w:jc w:val="both"/>
        <w:rPr>
          <w:rFonts w:asciiTheme="minorHAnsi" w:hAnsiTheme="minorHAnsi" w:cstheme="minorHAnsi"/>
          <w:sz w:val="20"/>
          <w:szCs w:val="20"/>
        </w:rPr>
      </w:pPr>
    </w:p>
    <w:p w:rsidR="00C600F4" w:rsidRDefault="00C600F4">
      <w:pPr>
        <w:spacing w:after="0" w:line="240" w:lineRule="auto"/>
        <w:jc w:val="both"/>
        <w:rPr>
          <w:rFonts w:asciiTheme="minorHAnsi" w:hAnsiTheme="minorHAnsi" w:cstheme="minorHAnsi"/>
          <w:sz w:val="20"/>
          <w:szCs w:val="20"/>
        </w:rPr>
        <w:sectPr w:rsidR="00C600F4">
          <w:pgSz w:w="16838" w:h="11906" w:orient="landscape" w:code="9"/>
          <w:pgMar w:top="1134" w:right="1134" w:bottom="1134" w:left="1134" w:header="709" w:footer="709" w:gutter="0"/>
          <w:cols w:space="708"/>
          <w:docGrid w:linePitch="360"/>
        </w:sectPr>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1"/>
        <w:gridCol w:w="4881"/>
      </w:tblGrid>
      <w:tr w:rsidR="00C600F4" w:rsidRPr="00814BB7" w:rsidTr="00D12A97">
        <w:trPr>
          <w:trHeight w:val="1793"/>
          <w:jc w:val="center"/>
        </w:trPr>
        <w:tc>
          <w:tcPr>
            <w:tcW w:w="10642" w:type="dxa"/>
            <w:gridSpan w:val="2"/>
            <w:shd w:val="clear" w:color="auto" w:fill="auto"/>
            <w:vAlign w:val="center"/>
          </w:tcPr>
          <w:p w:rsidR="00C600F4" w:rsidRPr="00814BB7" w:rsidRDefault="00C600F4" w:rsidP="00683E2C">
            <w:pPr>
              <w:rPr>
                <w:b/>
              </w:rPr>
            </w:pPr>
            <w:r>
              <w:rPr>
                <w:b/>
              </w:rPr>
              <w:lastRenderedPageBreak/>
              <w:t xml:space="preserve">AG&amp;T </w:t>
            </w:r>
            <w:r w:rsidRPr="00814BB7">
              <w:rPr>
                <w:b/>
              </w:rPr>
              <w:t>Data analysis</w:t>
            </w:r>
            <w:r>
              <w:rPr>
                <w:b/>
              </w:rPr>
              <w:t xml:space="preserve">                                        Teacher                                                            Class code</w:t>
            </w:r>
          </w:p>
          <w:p w:rsidR="00C600F4" w:rsidRPr="00814BB7" w:rsidRDefault="00C600F4" w:rsidP="00683E2C">
            <w:pPr>
              <w:rPr>
                <w:b/>
              </w:rPr>
            </w:pPr>
            <w:r>
              <w:rPr>
                <w:b/>
              </w:rPr>
              <w:t xml:space="preserve">Number of AG&amp;T students:       </w:t>
            </w:r>
          </w:p>
          <w:p w:rsidR="00C600F4" w:rsidRDefault="00C600F4" w:rsidP="00683E2C">
            <w:pPr>
              <w:rPr>
                <w:b/>
              </w:rPr>
            </w:pPr>
            <w:r>
              <w:rPr>
                <w:b/>
              </w:rPr>
              <w:t>Number</w:t>
            </w:r>
            <w:r w:rsidRPr="00814BB7">
              <w:rPr>
                <w:b/>
              </w:rPr>
              <w:t xml:space="preserve"> o</w:t>
            </w:r>
            <w:r>
              <w:rPr>
                <w:b/>
              </w:rPr>
              <w:t>f students on track to meet TG:</w:t>
            </w:r>
          </w:p>
          <w:p w:rsidR="00C600F4" w:rsidRPr="00814BB7" w:rsidRDefault="00C600F4" w:rsidP="00683E2C">
            <w:pPr>
              <w:rPr>
                <w:b/>
              </w:rPr>
            </w:pPr>
            <w:r>
              <w:rPr>
                <w:b/>
              </w:rPr>
              <w:t>Number of students on track to meet CG:</w:t>
            </w:r>
          </w:p>
        </w:tc>
      </w:tr>
      <w:tr w:rsidR="00C600F4" w:rsidRPr="00814BB7" w:rsidTr="00D12A97">
        <w:trPr>
          <w:trHeight w:val="396"/>
          <w:jc w:val="center"/>
        </w:trPr>
        <w:tc>
          <w:tcPr>
            <w:tcW w:w="5761" w:type="dxa"/>
            <w:shd w:val="clear" w:color="auto" w:fill="auto"/>
            <w:vAlign w:val="center"/>
          </w:tcPr>
          <w:p w:rsidR="00C600F4" w:rsidRPr="00814BB7" w:rsidRDefault="00C600F4" w:rsidP="00683E2C">
            <w:pPr>
              <w:rPr>
                <w:b/>
              </w:rPr>
            </w:pPr>
            <w:r w:rsidRPr="00814BB7">
              <w:rPr>
                <w:b/>
              </w:rPr>
              <w:t>Questions to consider</w:t>
            </w:r>
          </w:p>
        </w:tc>
        <w:tc>
          <w:tcPr>
            <w:tcW w:w="4881" w:type="dxa"/>
            <w:shd w:val="clear" w:color="auto" w:fill="auto"/>
            <w:vAlign w:val="center"/>
          </w:tcPr>
          <w:p w:rsidR="00C600F4" w:rsidRPr="00814BB7" w:rsidRDefault="00C600F4" w:rsidP="00683E2C">
            <w:pPr>
              <w:rPr>
                <w:b/>
              </w:rPr>
            </w:pPr>
            <w:r>
              <w:rPr>
                <w:b/>
              </w:rPr>
              <w:t xml:space="preserve">Responses </w:t>
            </w:r>
          </w:p>
        </w:tc>
      </w:tr>
      <w:tr w:rsidR="00C600F4" w:rsidRPr="00814BB7" w:rsidTr="00644781">
        <w:trPr>
          <w:trHeight w:val="1113"/>
          <w:jc w:val="center"/>
        </w:trPr>
        <w:tc>
          <w:tcPr>
            <w:tcW w:w="5761" w:type="dxa"/>
            <w:shd w:val="clear" w:color="auto" w:fill="auto"/>
          </w:tcPr>
          <w:p w:rsidR="00C600F4" w:rsidRPr="00814BB7" w:rsidRDefault="00C600F4" w:rsidP="00683E2C">
            <w:r>
              <w:t xml:space="preserve">Who are the AG&amp;T students that are underachieving in your class? </w:t>
            </w:r>
          </w:p>
        </w:tc>
        <w:tc>
          <w:tcPr>
            <w:tcW w:w="4881" w:type="dxa"/>
            <w:shd w:val="clear" w:color="auto" w:fill="auto"/>
            <w:vAlign w:val="center"/>
          </w:tcPr>
          <w:p w:rsidR="00C600F4" w:rsidRPr="00814BB7" w:rsidRDefault="00C600F4" w:rsidP="00683E2C"/>
        </w:tc>
      </w:tr>
      <w:tr w:rsidR="00C600F4" w:rsidRPr="00814BB7" w:rsidTr="00644781">
        <w:trPr>
          <w:trHeight w:val="1871"/>
          <w:jc w:val="center"/>
        </w:trPr>
        <w:tc>
          <w:tcPr>
            <w:tcW w:w="5761" w:type="dxa"/>
            <w:shd w:val="clear" w:color="auto" w:fill="auto"/>
          </w:tcPr>
          <w:p w:rsidR="00C600F4" w:rsidRPr="00814BB7" w:rsidRDefault="00C600F4" w:rsidP="00683E2C">
            <w:r>
              <w:t xml:space="preserve">What have you done so far to address this?  </w:t>
            </w:r>
          </w:p>
        </w:tc>
        <w:tc>
          <w:tcPr>
            <w:tcW w:w="4881" w:type="dxa"/>
            <w:shd w:val="clear" w:color="auto" w:fill="auto"/>
            <w:vAlign w:val="center"/>
          </w:tcPr>
          <w:p w:rsidR="00C600F4" w:rsidRPr="00814BB7" w:rsidRDefault="00C600F4" w:rsidP="00683E2C"/>
          <w:p w:rsidR="00C600F4" w:rsidRPr="00814BB7" w:rsidRDefault="00C600F4" w:rsidP="00683E2C"/>
          <w:p w:rsidR="00C600F4" w:rsidRPr="00814BB7" w:rsidRDefault="00C600F4" w:rsidP="00683E2C"/>
        </w:tc>
      </w:tr>
      <w:tr w:rsidR="00C600F4" w:rsidRPr="00814BB7" w:rsidTr="00644781">
        <w:trPr>
          <w:trHeight w:val="1871"/>
          <w:jc w:val="center"/>
        </w:trPr>
        <w:tc>
          <w:tcPr>
            <w:tcW w:w="5761" w:type="dxa"/>
            <w:shd w:val="clear" w:color="auto" w:fill="auto"/>
          </w:tcPr>
          <w:p w:rsidR="00C600F4" w:rsidRPr="00814BB7" w:rsidRDefault="00C600F4" w:rsidP="00683E2C">
            <w:r>
              <w:t>Which students are achieving their target grade and how could they be boosted to achieve their challenge grade?</w:t>
            </w:r>
          </w:p>
        </w:tc>
        <w:tc>
          <w:tcPr>
            <w:tcW w:w="4881" w:type="dxa"/>
            <w:shd w:val="clear" w:color="auto" w:fill="auto"/>
            <w:vAlign w:val="center"/>
          </w:tcPr>
          <w:p w:rsidR="00C600F4" w:rsidRPr="00814BB7" w:rsidRDefault="00C600F4" w:rsidP="00683E2C"/>
          <w:p w:rsidR="00C600F4" w:rsidRPr="00814BB7" w:rsidRDefault="00C600F4" w:rsidP="00683E2C"/>
          <w:p w:rsidR="00C600F4" w:rsidRPr="00814BB7" w:rsidRDefault="00C600F4" w:rsidP="00683E2C"/>
          <w:p w:rsidR="00C600F4" w:rsidRPr="00814BB7" w:rsidRDefault="00C600F4" w:rsidP="00683E2C"/>
        </w:tc>
      </w:tr>
      <w:tr w:rsidR="00C600F4" w:rsidRPr="00814BB7" w:rsidTr="00644781">
        <w:trPr>
          <w:trHeight w:val="1871"/>
          <w:jc w:val="center"/>
        </w:trPr>
        <w:tc>
          <w:tcPr>
            <w:tcW w:w="5761" w:type="dxa"/>
            <w:shd w:val="clear" w:color="auto" w:fill="auto"/>
          </w:tcPr>
          <w:p w:rsidR="00C600F4" w:rsidRPr="00814BB7" w:rsidRDefault="00C600F4" w:rsidP="00683E2C">
            <w:r>
              <w:t>What are the issues in your class that need to be addressed?</w:t>
            </w:r>
          </w:p>
        </w:tc>
        <w:tc>
          <w:tcPr>
            <w:tcW w:w="4881" w:type="dxa"/>
            <w:shd w:val="clear" w:color="auto" w:fill="auto"/>
            <w:vAlign w:val="center"/>
          </w:tcPr>
          <w:p w:rsidR="00C600F4" w:rsidRPr="00814BB7" w:rsidRDefault="00C600F4" w:rsidP="00683E2C"/>
          <w:p w:rsidR="00C600F4" w:rsidRPr="00814BB7" w:rsidRDefault="00C600F4" w:rsidP="00683E2C"/>
          <w:p w:rsidR="00C600F4" w:rsidRPr="00814BB7" w:rsidRDefault="00C600F4" w:rsidP="00683E2C"/>
        </w:tc>
      </w:tr>
      <w:tr w:rsidR="00C600F4" w:rsidRPr="00814BB7" w:rsidTr="00644781">
        <w:trPr>
          <w:trHeight w:val="1871"/>
          <w:jc w:val="center"/>
        </w:trPr>
        <w:tc>
          <w:tcPr>
            <w:tcW w:w="5761" w:type="dxa"/>
            <w:tcBorders>
              <w:top w:val="single" w:sz="4" w:space="0" w:color="auto"/>
              <w:left w:val="single" w:sz="4" w:space="0" w:color="auto"/>
              <w:bottom w:val="single" w:sz="4" w:space="0" w:color="auto"/>
              <w:right w:val="single" w:sz="4" w:space="0" w:color="auto"/>
            </w:tcBorders>
            <w:shd w:val="clear" w:color="auto" w:fill="auto"/>
          </w:tcPr>
          <w:p w:rsidR="00C600F4" w:rsidRDefault="00C600F4" w:rsidP="00683E2C">
            <w:r>
              <w:t xml:space="preserve">Who are your target students and why? </w:t>
            </w:r>
          </w:p>
          <w:p w:rsidR="00C600F4" w:rsidRPr="00814BB7" w:rsidRDefault="00C600F4" w:rsidP="00683E2C"/>
        </w:tc>
        <w:tc>
          <w:tcPr>
            <w:tcW w:w="4881" w:type="dxa"/>
            <w:tcBorders>
              <w:top w:val="single" w:sz="4" w:space="0" w:color="auto"/>
              <w:left w:val="single" w:sz="4" w:space="0" w:color="auto"/>
              <w:bottom w:val="single" w:sz="4" w:space="0" w:color="auto"/>
              <w:right w:val="single" w:sz="4" w:space="0" w:color="auto"/>
            </w:tcBorders>
            <w:shd w:val="clear" w:color="auto" w:fill="auto"/>
            <w:vAlign w:val="center"/>
          </w:tcPr>
          <w:p w:rsidR="00C600F4" w:rsidRDefault="00C600F4" w:rsidP="00683E2C"/>
          <w:p w:rsidR="00C600F4" w:rsidRDefault="00C600F4" w:rsidP="00683E2C"/>
          <w:p w:rsidR="00C600F4" w:rsidRPr="00814BB7" w:rsidRDefault="00C600F4" w:rsidP="00683E2C"/>
        </w:tc>
      </w:tr>
      <w:tr w:rsidR="00C600F4" w:rsidRPr="00814BB7" w:rsidTr="00644781">
        <w:trPr>
          <w:trHeight w:val="1871"/>
          <w:jc w:val="center"/>
        </w:trPr>
        <w:tc>
          <w:tcPr>
            <w:tcW w:w="5761" w:type="dxa"/>
            <w:tcBorders>
              <w:top w:val="single" w:sz="4" w:space="0" w:color="auto"/>
              <w:left w:val="single" w:sz="4" w:space="0" w:color="auto"/>
              <w:bottom w:val="single" w:sz="4" w:space="0" w:color="auto"/>
              <w:right w:val="single" w:sz="4" w:space="0" w:color="auto"/>
            </w:tcBorders>
            <w:shd w:val="clear" w:color="auto" w:fill="auto"/>
          </w:tcPr>
          <w:p w:rsidR="00C600F4" w:rsidRDefault="00C600F4" w:rsidP="00683E2C">
            <w:r>
              <w:t>What are your next steps?</w:t>
            </w:r>
          </w:p>
        </w:tc>
        <w:tc>
          <w:tcPr>
            <w:tcW w:w="4881" w:type="dxa"/>
            <w:tcBorders>
              <w:top w:val="single" w:sz="4" w:space="0" w:color="auto"/>
              <w:left w:val="single" w:sz="4" w:space="0" w:color="auto"/>
              <w:bottom w:val="single" w:sz="4" w:space="0" w:color="auto"/>
              <w:right w:val="single" w:sz="4" w:space="0" w:color="auto"/>
            </w:tcBorders>
            <w:shd w:val="clear" w:color="auto" w:fill="auto"/>
            <w:vAlign w:val="center"/>
          </w:tcPr>
          <w:p w:rsidR="00C600F4" w:rsidRPr="00814BB7" w:rsidRDefault="00C600F4" w:rsidP="00683E2C"/>
        </w:tc>
      </w:tr>
    </w:tbl>
    <w:p w:rsidR="00C600F4" w:rsidRDefault="00C600F4">
      <w:pPr>
        <w:spacing w:after="0" w:line="240" w:lineRule="auto"/>
        <w:jc w:val="both"/>
        <w:rPr>
          <w:rFonts w:asciiTheme="minorHAnsi" w:hAnsiTheme="minorHAnsi" w:cstheme="minorHAnsi"/>
          <w:sz w:val="20"/>
          <w:szCs w:val="20"/>
        </w:rPr>
      </w:pPr>
    </w:p>
    <w:sectPr w:rsidR="00C600F4" w:rsidSect="00C600F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22" w:rsidRDefault="00E414CC">
      <w:pPr>
        <w:spacing w:after="0" w:line="240" w:lineRule="auto"/>
      </w:pPr>
      <w:r>
        <w:separator/>
      </w:r>
    </w:p>
  </w:endnote>
  <w:endnote w:type="continuationSeparator" w:id="0">
    <w:p w:rsidR="00756622" w:rsidRDefault="00E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22" w:rsidRDefault="00E414CC">
    <w:pPr>
      <w:pStyle w:val="Footer"/>
      <w:jc w:val="center"/>
    </w:pPr>
    <w:r>
      <w:fldChar w:fldCharType="begin"/>
    </w:r>
    <w:r>
      <w:instrText xml:space="preserve"> PAGE   \* MERGEFORMAT </w:instrText>
    </w:r>
    <w:r>
      <w:fldChar w:fldCharType="separate"/>
    </w:r>
    <w:r w:rsidR="00910668">
      <w:rPr>
        <w:noProof/>
      </w:rPr>
      <w:t>10</w:t>
    </w:r>
    <w:r>
      <w:rPr>
        <w:noProof/>
      </w:rPr>
      <w:fldChar w:fldCharType="end"/>
    </w:r>
  </w:p>
  <w:p w:rsidR="00756622" w:rsidRDefault="007566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22" w:rsidRDefault="00E414CC">
    <w:pPr>
      <w:pStyle w:val="Footer"/>
      <w:jc w:val="center"/>
    </w:pPr>
    <w:r>
      <w:fldChar w:fldCharType="begin"/>
    </w:r>
    <w:r>
      <w:instrText xml:space="preserve"> PAGE   \* MERGEFORMAT </w:instrText>
    </w:r>
    <w:r>
      <w:fldChar w:fldCharType="separate"/>
    </w:r>
    <w:r w:rsidR="00910668">
      <w:rPr>
        <w:noProof/>
      </w:rPr>
      <w:t>13</w:t>
    </w:r>
    <w:r>
      <w:rPr>
        <w:noProof/>
      </w:rPr>
      <w:fldChar w:fldCharType="end"/>
    </w:r>
  </w:p>
  <w:p w:rsidR="00756622" w:rsidRDefault="00756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22" w:rsidRDefault="00E414CC">
      <w:pPr>
        <w:spacing w:after="0" w:line="240" w:lineRule="auto"/>
      </w:pPr>
      <w:r>
        <w:separator/>
      </w:r>
    </w:p>
  </w:footnote>
  <w:footnote w:type="continuationSeparator" w:id="0">
    <w:p w:rsidR="00756622" w:rsidRDefault="00E41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2"/>
    <w:rsid w:val="00197904"/>
    <w:rsid w:val="002C5E63"/>
    <w:rsid w:val="00644781"/>
    <w:rsid w:val="00650FB3"/>
    <w:rsid w:val="006867D3"/>
    <w:rsid w:val="006C3827"/>
    <w:rsid w:val="00711A68"/>
    <w:rsid w:val="00756622"/>
    <w:rsid w:val="008B30FA"/>
    <w:rsid w:val="00910668"/>
    <w:rsid w:val="009B725B"/>
    <w:rsid w:val="00A01F8E"/>
    <w:rsid w:val="00B2699F"/>
    <w:rsid w:val="00B66175"/>
    <w:rsid w:val="00C600F4"/>
    <w:rsid w:val="00D12A97"/>
    <w:rsid w:val="00E02FC0"/>
    <w:rsid w:val="00E414CC"/>
    <w:rsid w:val="00E9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984602"/>
  <w15:docId w15:val="{CDCEA23D-7FE7-4960-815F-3C1EA14E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thebrilliantclub.org/"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7E4F46-A6D9-4AAA-96A7-C6F3AE707B32}" type="doc">
      <dgm:prSet loTypeId="urn:microsoft.com/office/officeart/2005/8/layout/pyramid1" loCatId="pyramid" qsTypeId="urn:microsoft.com/office/officeart/2005/8/quickstyle/simple1" qsCatId="simple" csTypeId="urn:microsoft.com/office/officeart/2005/8/colors/accent3_3" csCatId="accent3" phldr="1"/>
      <dgm:spPr/>
    </dgm:pt>
    <dgm:pt modelId="{30E7DDCD-3F1B-4EFE-8D74-CE568F69F718}">
      <dgm:prSet phldrT="[Text]" custT="1"/>
      <dgm:spPr>
        <a:solidFill>
          <a:schemeClr val="bg1">
            <a:lumMod val="50000"/>
          </a:schemeClr>
        </a:solidFill>
      </dgm:spPr>
      <dgm:t>
        <a:bodyPr/>
        <a:lstStyle/>
        <a:p>
          <a:pPr algn="ctr"/>
          <a:r>
            <a:rPr lang="en-GB" sz="1400" b="1"/>
            <a:t>Wave 3</a:t>
          </a:r>
        </a:p>
        <a:p>
          <a:pPr algn="ctr"/>
          <a:r>
            <a:rPr lang="en-GB" sz="1200" b="1"/>
            <a:t>Targeted support for individuals:</a:t>
          </a:r>
        </a:p>
        <a:p>
          <a:pPr algn="ctr"/>
          <a:r>
            <a:rPr lang="en-GB" sz="1200"/>
            <a:t> 1:1 mentoring for AG&amp;T underachievers</a:t>
          </a:r>
        </a:p>
        <a:p>
          <a:pPr algn="ctr"/>
          <a:r>
            <a:rPr lang="en-GB" sz="1200"/>
            <a:t>Bursaries</a:t>
          </a:r>
        </a:p>
      </dgm:t>
    </dgm:pt>
    <dgm:pt modelId="{DA155429-EA42-4103-9A1E-DE92583238F5}" type="parTrans" cxnId="{57BE009C-8A24-4C8E-A443-F7CCFEA70BA3}">
      <dgm:prSet/>
      <dgm:spPr/>
      <dgm:t>
        <a:bodyPr/>
        <a:lstStyle/>
        <a:p>
          <a:pPr algn="ctr"/>
          <a:endParaRPr lang="en-GB"/>
        </a:p>
      </dgm:t>
    </dgm:pt>
    <dgm:pt modelId="{54DD687F-291F-4A57-8E1A-84509F8C0198}" type="sibTrans" cxnId="{57BE009C-8A24-4C8E-A443-F7CCFEA70BA3}">
      <dgm:prSet/>
      <dgm:spPr/>
      <dgm:t>
        <a:bodyPr/>
        <a:lstStyle/>
        <a:p>
          <a:pPr algn="ctr"/>
          <a:endParaRPr lang="en-GB"/>
        </a:p>
      </dgm:t>
    </dgm:pt>
    <dgm:pt modelId="{7A79053B-A8C2-4981-9662-FAFDD7D0225D}">
      <dgm:prSet phldrT="[Text]" custT="1"/>
      <dgm:spPr>
        <a:solidFill>
          <a:schemeClr val="bg1">
            <a:lumMod val="75000"/>
          </a:schemeClr>
        </a:solidFill>
      </dgm:spPr>
      <dgm:t>
        <a:bodyPr/>
        <a:lstStyle/>
        <a:p>
          <a:pPr algn="ctr"/>
          <a:r>
            <a:rPr lang="en-GB" sz="1400" b="1"/>
            <a:t>Wave 2</a:t>
          </a:r>
        </a:p>
        <a:p>
          <a:pPr algn="ctr"/>
          <a:r>
            <a:rPr lang="en-GB" sz="1200" b="1"/>
            <a:t>Enrichment and enhancement:</a:t>
          </a:r>
        </a:p>
        <a:p>
          <a:pPr algn="ctr"/>
          <a:r>
            <a:rPr lang="en-GB" sz="1200" b="0"/>
            <a:t>Extra-curricular activities</a:t>
          </a:r>
        </a:p>
        <a:p>
          <a:pPr algn="ctr"/>
          <a:r>
            <a:rPr lang="en-GB" sz="1200"/>
            <a:t>Masterclasses</a:t>
          </a:r>
        </a:p>
        <a:p>
          <a:pPr algn="ctr"/>
          <a:r>
            <a:rPr lang="en-GB" sz="1200"/>
            <a:t>National competitions</a:t>
          </a:r>
        </a:p>
        <a:p>
          <a:pPr algn="ctr"/>
          <a:r>
            <a:rPr lang="en-GB" sz="1200"/>
            <a:t>Conferences</a:t>
          </a:r>
        </a:p>
        <a:p>
          <a:pPr algn="ctr"/>
          <a:r>
            <a:rPr lang="en-GB" sz="1200"/>
            <a:t>Student Leaders</a:t>
          </a:r>
        </a:p>
        <a:p>
          <a:pPr algn="ctr"/>
          <a:r>
            <a:rPr lang="en-GB" sz="1200"/>
            <a:t>Activities for Yr 5&amp;6 primary school pupils</a:t>
          </a:r>
        </a:p>
      </dgm:t>
    </dgm:pt>
    <dgm:pt modelId="{654F8B59-AE11-4122-9D6D-642D6AD3A5E6}" type="parTrans" cxnId="{D3568694-EA52-4882-BC5A-ECD0EAEA52B6}">
      <dgm:prSet/>
      <dgm:spPr/>
      <dgm:t>
        <a:bodyPr/>
        <a:lstStyle/>
        <a:p>
          <a:pPr algn="ctr"/>
          <a:endParaRPr lang="en-GB"/>
        </a:p>
      </dgm:t>
    </dgm:pt>
    <dgm:pt modelId="{FD27BDCF-0D74-400A-A8D5-BC5E83E50F68}" type="sibTrans" cxnId="{D3568694-EA52-4882-BC5A-ECD0EAEA52B6}">
      <dgm:prSet/>
      <dgm:spPr/>
      <dgm:t>
        <a:bodyPr/>
        <a:lstStyle/>
        <a:p>
          <a:pPr algn="ctr"/>
          <a:endParaRPr lang="en-GB"/>
        </a:p>
      </dgm:t>
    </dgm:pt>
    <dgm:pt modelId="{4C886D94-FE61-465C-AE88-36D022E037E5}">
      <dgm:prSet phldrT="[Text]" custT="1"/>
      <dgm:spPr>
        <a:solidFill>
          <a:schemeClr val="bg1">
            <a:lumMod val="85000"/>
          </a:schemeClr>
        </a:solidFill>
      </dgm:spPr>
      <dgm:t>
        <a:bodyPr/>
        <a:lstStyle/>
        <a:p>
          <a:pPr algn="ctr"/>
          <a:r>
            <a:rPr lang="en-GB" sz="1400" b="1"/>
            <a:t>Wave 1</a:t>
          </a:r>
        </a:p>
        <a:p>
          <a:pPr algn="ctr"/>
          <a:r>
            <a:rPr lang="en-GB" sz="1200" b="1"/>
            <a:t>Within the curriculum:</a:t>
          </a:r>
        </a:p>
        <a:p>
          <a:pPr algn="ctr"/>
          <a:r>
            <a:rPr lang="en-GB" sz="1200" b="0"/>
            <a:t>Setting and streaming in the curriculum model</a:t>
          </a:r>
        </a:p>
        <a:p>
          <a:pPr algn="ctr"/>
          <a:r>
            <a:rPr lang="en-GB" sz="1200" b="0"/>
            <a:t>Differentiated curriculum through programmes of study</a:t>
          </a:r>
        </a:p>
        <a:p>
          <a:pPr algn="ctr"/>
          <a:r>
            <a:rPr lang="en-GB" sz="1200" b="0"/>
            <a:t>Good inclusive classroom practice</a:t>
          </a:r>
        </a:p>
      </dgm:t>
    </dgm:pt>
    <dgm:pt modelId="{EF64089A-85D5-4731-BBA2-38803BFFDC42}" type="parTrans" cxnId="{7C9505C8-6464-4DFA-8AA5-0876E441E418}">
      <dgm:prSet/>
      <dgm:spPr/>
      <dgm:t>
        <a:bodyPr/>
        <a:lstStyle/>
        <a:p>
          <a:pPr algn="ctr"/>
          <a:endParaRPr lang="en-GB"/>
        </a:p>
      </dgm:t>
    </dgm:pt>
    <dgm:pt modelId="{4B0C138A-75C8-4C61-BA83-0C01C2BD8F59}" type="sibTrans" cxnId="{7C9505C8-6464-4DFA-8AA5-0876E441E418}">
      <dgm:prSet/>
      <dgm:spPr/>
      <dgm:t>
        <a:bodyPr/>
        <a:lstStyle/>
        <a:p>
          <a:pPr algn="ctr"/>
          <a:endParaRPr lang="en-GB"/>
        </a:p>
      </dgm:t>
    </dgm:pt>
    <dgm:pt modelId="{287675C2-E578-4294-BDFA-8EDE836A0369}" type="pres">
      <dgm:prSet presAssocID="{BE7E4F46-A6D9-4AAA-96A7-C6F3AE707B32}" presName="Name0" presStyleCnt="0">
        <dgm:presLayoutVars>
          <dgm:dir/>
          <dgm:animLvl val="lvl"/>
          <dgm:resizeHandles val="exact"/>
        </dgm:presLayoutVars>
      </dgm:prSet>
      <dgm:spPr/>
    </dgm:pt>
    <dgm:pt modelId="{446516D4-253B-465E-BF61-71931FB15B77}" type="pres">
      <dgm:prSet presAssocID="{30E7DDCD-3F1B-4EFE-8D74-CE568F69F718}" presName="Name8" presStyleCnt="0"/>
      <dgm:spPr/>
    </dgm:pt>
    <dgm:pt modelId="{E8149318-CB17-439A-AC39-025B927C68F8}" type="pres">
      <dgm:prSet presAssocID="{30E7DDCD-3F1B-4EFE-8D74-CE568F69F718}" presName="level" presStyleLbl="node1" presStyleIdx="0" presStyleCnt="3">
        <dgm:presLayoutVars>
          <dgm:chMax val="1"/>
          <dgm:bulletEnabled val="1"/>
        </dgm:presLayoutVars>
      </dgm:prSet>
      <dgm:spPr/>
      <dgm:t>
        <a:bodyPr/>
        <a:lstStyle/>
        <a:p>
          <a:endParaRPr lang="en-GB"/>
        </a:p>
      </dgm:t>
    </dgm:pt>
    <dgm:pt modelId="{9E2B6009-1045-4734-8DE8-8AFFB56AC0D3}" type="pres">
      <dgm:prSet presAssocID="{30E7DDCD-3F1B-4EFE-8D74-CE568F69F718}" presName="levelTx" presStyleLbl="revTx" presStyleIdx="0" presStyleCnt="0">
        <dgm:presLayoutVars>
          <dgm:chMax val="1"/>
          <dgm:bulletEnabled val="1"/>
        </dgm:presLayoutVars>
      </dgm:prSet>
      <dgm:spPr/>
      <dgm:t>
        <a:bodyPr/>
        <a:lstStyle/>
        <a:p>
          <a:endParaRPr lang="en-GB"/>
        </a:p>
      </dgm:t>
    </dgm:pt>
    <dgm:pt modelId="{3F9BE362-B1AD-4491-8881-F3ABF1497C3D}" type="pres">
      <dgm:prSet presAssocID="{7A79053B-A8C2-4981-9662-FAFDD7D0225D}" presName="Name8" presStyleCnt="0"/>
      <dgm:spPr/>
    </dgm:pt>
    <dgm:pt modelId="{154098C5-CD04-4685-8FDF-F6E01842377A}" type="pres">
      <dgm:prSet presAssocID="{7A79053B-A8C2-4981-9662-FAFDD7D0225D}" presName="level" presStyleLbl="node1" presStyleIdx="1" presStyleCnt="3">
        <dgm:presLayoutVars>
          <dgm:chMax val="1"/>
          <dgm:bulletEnabled val="1"/>
        </dgm:presLayoutVars>
      </dgm:prSet>
      <dgm:spPr/>
      <dgm:t>
        <a:bodyPr/>
        <a:lstStyle/>
        <a:p>
          <a:endParaRPr lang="en-GB"/>
        </a:p>
      </dgm:t>
    </dgm:pt>
    <dgm:pt modelId="{C6945270-2609-41DA-809B-F43CA9B8FA44}" type="pres">
      <dgm:prSet presAssocID="{7A79053B-A8C2-4981-9662-FAFDD7D0225D}" presName="levelTx" presStyleLbl="revTx" presStyleIdx="0" presStyleCnt="0">
        <dgm:presLayoutVars>
          <dgm:chMax val="1"/>
          <dgm:bulletEnabled val="1"/>
        </dgm:presLayoutVars>
      </dgm:prSet>
      <dgm:spPr/>
      <dgm:t>
        <a:bodyPr/>
        <a:lstStyle/>
        <a:p>
          <a:endParaRPr lang="en-GB"/>
        </a:p>
      </dgm:t>
    </dgm:pt>
    <dgm:pt modelId="{93896E2C-AED6-475F-B1E6-68792DC1D214}" type="pres">
      <dgm:prSet presAssocID="{4C886D94-FE61-465C-AE88-36D022E037E5}" presName="Name8" presStyleCnt="0"/>
      <dgm:spPr/>
    </dgm:pt>
    <dgm:pt modelId="{A5711CB6-C3E0-4EFC-BDC3-1DE2C47513FA}" type="pres">
      <dgm:prSet presAssocID="{4C886D94-FE61-465C-AE88-36D022E037E5}" presName="level" presStyleLbl="node1" presStyleIdx="2" presStyleCnt="3">
        <dgm:presLayoutVars>
          <dgm:chMax val="1"/>
          <dgm:bulletEnabled val="1"/>
        </dgm:presLayoutVars>
      </dgm:prSet>
      <dgm:spPr/>
      <dgm:t>
        <a:bodyPr/>
        <a:lstStyle/>
        <a:p>
          <a:endParaRPr lang="en-GB"/>
        </a:p>
      </dgm:t>
    </dgm:pt>
    <dgm:pt modelId="{EAF829E1-E0B3-4E1D-A129-A40662AE58F2}" type="pres">
      <dgm:prSet presAssocID="{4C886D94-FE61-465C-AE88-36D022E037E5}" presName="levelTx" presStyleLbl="revTx" presStyleIdx="0" presStyleCnt="0">
        <dgm:presLayoutVars>
          <dgm:chMax val="1"/>
          <dgm:bulletEnabled val="1"/>
        </dgm:presLayoutVars>
      </dgm:prSet>
      <dgm:spPr/>
      <dgm:t>
        <a:bodyPr/>
        <a:lstStyle/>
        <a:p>
          <a:endParaRPr lang="en-GB"/>
        </a:p>
      </dgm:t>
    </dgm:pt>
  </dgm:ptLst>
  <dgm:cxnLst>
    <dgm:cxn modelId="{D3C34B73-B275-4DE0-A4ED-54E4F53BCA28}" type="presOf" srcId="{BE7E4F46-A6D9-4AAA-96A7-C6F3AE707B32}" destId="{287675C2-E578-4294-BDFA-8EDE836A0369}" srcOrd="0" destOrd="0" presId="urn:microsoft.com/office/officeart/2005/8/layout/pyramid1"/>
    <dgm:cxn modelId="{BB41B3DE-0EB0-4FA2-BEF9-38D6483A1C24}" type="presOf" srcId="{4C886D94-FE61-465C-AE88-36D022E037E5}" destId="{EAF829E1-E0B3-4E1D-A129-A40662AE58F2}" srcOrd="1" destOrd="0" presId="urn:microsoft.com/office/officeart/2005/8/layout/pyramid1"/>
    <dgm:cxn modelId="{57BE009C-8A24-4C8E-A443-F7CCFEA70BA3}" srcId="{BE7E4F46-A6D9-4AAA-96A7-C6F3AE707B32}" destId="{30E7DDCD-3F1B-4EFE-8D74-CE568F69F718}" srcOrd="0" destOrd="0" parTransId="{DA155429-EA42-4103-9A1E-DE92583238F5}" sibTransId="{54DD687F-291F-4A57-8E1A-84509F8C0198}"/>
    <dgm:cxn modelId="{7C9505C8-6464-4DFA-8AA5-0876E441E418}" srcId="{BE7E4F46-A6D9-4AAA-96A7-C6F3AE707B32}" destId="{4C886D94-FE61-465C-AE88-36D022E037E5}" srcOrd="2" destOrd="0" parTransId="{EF64089A-85D5-4731-BBA2-38803BFFDC42}" sibTransId="{4B0C138A-75C8-4C61-BA83-0C01C2BD8F59}"/>
    <dgm:cxn modelId="{96CB94B1-44C4-41A5-8C69-79534C643B12}" type="presOf" srcId="{7A79053B-A8C2-4981-9662-FAFDD7D0225D}" destId="{154098C5-CD04-4685-8FDF-F6E01842377A}" srcOrd="0" destOrd="0" presId="urn:microsoft.com/office/officeart/2005/8/layout/pyramid1"/>
    <dgm:cxn modelId="{0D5AC7C5-36F8-4700-85B7-B8144D8D7BCB}" type="presOf" srcId="{4C886D94-FE61-465C-AE88-36D022E037E5}" destId="{A5711CB6-C3E0-4EFC-BDC3-1DE2C47513FA}" srcOrd="0" destOrd="0" presId="urn:microsoft.com/office/officeart/2005/8/layout/pyramid1"/>
    <dgm:cxn modelId="{367B160E-296A-4E03-972C-25BBB873D2DE}" type="presOf" srcId="{30E7DDCD-3F1B-4EFE-8D74-CE568F69F718}" destId="{E8149318-CB17-439A-AC39-025B927C68F8}" srcOrd="0" destOrd="0" presId="urn:microsoft.com/office/officeart/2005/8/layout/pyramid1"/>
    <dgm:cxn modelId="{2CD3F829-C4AB-47E2-A25C-9961B3C8683E}" type="presOf" srcId="{7A79053B-A8C2-4981-9662-FAFDD7D0225D}" destId="{C6945270-2609-41DA-809B-F43CA9B8FA44}" srcOrd="1" destOrd="0" presId="urn:microsoft.com/office/officeart/2005/8/layout/pyramid1"/>
    <dgm:cxn modelId="{A059BFB8-6945-41DB-81AB-B5381DFEEA5F}" type="presOf" srcId="{30E7DDCD-3F1B-4EFE-8D74-CE568F69F718}" destId="{9E2B6009-1045-4734-8DE8-8AFFB56AC0D3}" srcOrd="1" destOrd="0" presId="urn:microsoft.com/office/officeart/2005/8/layout/pyramid1"/>
    <dgm:cxn modelId="{D3568694-EA52-4882-BC5A-ECD0EAEA52B6}" srcId="{BE7E4F46-A6D9-4AAA-96A7-C6F3AE707B32}" destId="{7A79053B-A8C2-4981-9662-FAFDD7D0225D}" srcOrd="1" destOrd="0" parTransId="{654F8B59-AE11-4122-9D6D-642D6AD3A5E6}" sibTransId="{FD27BDCF-0D74-400A-A8D5-BC5E83E50F68}"/>
    <dgm:cxn modelId="{379D5F98-9E68-4093-AD29-40E34BCA2573}" type="presParOf" srcId="{287675C2-E578-4294-BDFA-8EDE836A0369}" destId="{446516D4-253B-465E-BF61-71931FB15B77}" srcOrd="0" destOrd="0" presId="urn:microsoft.com/office/officeart/2005/8/layout/pyramid1"/>
    <dgm:cxn modelId="{9EFA5066-3038-4616-B755-7FFC3AFFE420}" type="presParOf" srcId="{446516D4-253B-465E-BF61-71931FB15B77}" destId="{E8149318-CB17-439A-AC39-025B927C68F8}" srcOrd="0" destOrd="0" presId="urn:microsoft.com/office/officeart/2005/8/layout/pyramid1"/>
    <dgm:cxn modelId="{C57D44E4-35CB-45E3-A2F2-6C85163C6D95}" type="presParOf" srcId="{446516D4-253B-465E-BF61-71931FB15B77}" destId="{9E2B6009-1045-4734-8DE8-8AFFB56AC0D3}" srcOrd="1" destOrd="0" presId="urn:microsoft.com/office/officeart/2005/8/layout/pyramid1"/>
    <dgm:cxn modelId="{88E0E019-5A7E-475C-9183-A423C31B8DE1}" type="presParOf" srcId="{287675C2-E578-4294-BDFA-8EDE836A0369}" destId="{3F9BE362-B1AD-4491-8881-F3ABF1497C3D}" srcOrd="1" destOrd="0" presId="urn:microsoft.com/office/officeart/2005/8/layout/pyramid1"/>
    <dgm:cxn modelId="{2B8717BE-A37C-4C21-AD57-956B3B0929D5}" type="presParOf" srcId="{3F9BE362-B1AD-4491-8881-F3ABF1497C3D}" destId="{154098C5-CD04-4685-8FDF-F6E01842377A}" srcOrd="0" destOrd="0" presId="urn:microsoft.com/office/officeart/2005/8/layout/pyramid1"/>
    <dgm:cxn modelId="{153AFEBE-4D6E-4401-BDB0-E0271903CAED}" type="presParOf" srcId="{3F9BE362-B1AD-4491-8881-F3ABF1497C3D}" destId="{C6945270-2609-41DA-809B-F43CA9B8FA44}" srcOrd="1" destOrd="0" presId="urn:microsoft.com/office/officeart/2005/8/layout/pyramid1"/>
    <dgm:cxn modelId="{2422FD4B-3C0C-4799-95A2-62887BEA01FA}" type="presParOf" srcId="{287675C2-E578-4294-BDFA-8EDE836A0369}" destId="{93896E2C-AED6-475F-B1E6-68792DC1D214}" srcOrd="2" destOrd="0" presId="urn:microsoft.com/office/officeart/2005/8/layout/pyramid1"/>
    <dgm:cxn modelId="{43102A0C-282D-4BE8-BA84-8A3A578504EB}" type="presParOf" srcId="{93896E2C-AED6-475F-B1E6-68792DC1D214}" destId="{A5711CB6-C3E0-4EFC-BDC3-1DE2C47513FA}" srcOrd="0" destOrd="0" presId="urn:microsoft.com/office/officeart/2005/8/layout/pyramid1"/>
    <dgm:cxn modelId="{77E4DA8C-3374-4998-AF30-FA1DBD26C7E7}" type="presParOf" srcId="{93896E2C-AED6-475F-B1E6-68792DC1D214}" destId="{EAF829E1-E0B3-4E1D-A129-A40662AE58F2}"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A01F4F-5963-4AE7-BD59-47CCB7BA3FC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FE5A44AB-91A9-4F6E-8825-86408B4478A9}">
      <dgm:prSet phldrT="[Text]" custT="1"/>
      <dgm:spPr>
        <a:solidFill>
          <a:schemeClr val="tx2">
            <a:lumMod val="40000"/>
            <a:lumOff val="60000"/>
          </a:schemeClr>
        </a:solidFill>
      </dgm:spPr>
      <dgm:t>
        <a:bodyPr/>
        <a:lstStyle/>
        <a:p>
          <a:r>
            <a:rPr lang="en-GB" sz="1400" b="0">
              <a:solidFill>
                <a:sysClr val="windowText" lastClr="000000"/>
              </a:solidFill>
            </a:rPr>
            <a:t>Deputy Headteacher: Strategic Overview</a:t>
          </a:r>
          <a:endParaRPr lang="en-GB" sz="1400"/>
        </a:p>
      </dgm:t>
    </dgm:pt>
    <dgm:pt modelId="{E15719DB-0BA5-406A-8D73-FAF173B86132}" type="parTrans" cxnId="{885CC4C9-41BB-421D-B43D-2C7CC79AEA30}">
      <dgm:prSet/>
      <dgm:spPr/>
      <dgm:t>
        <a:bodyPr/>
        <a:lstStyle/>
        <a:p>
          <a:endParaRPr lang="en-GB"/>
        </a:p>
      </dgm:t>
    </dgm:pt>
    <dgm:pt modelId="{84A6AC4F-E464-415C-BF7D-A7170B30A34D}" type="sibTrans" cxnId="{885CC4C9-41BB-421D-B43D-2C7CC79AEA30}">
      <dgm:prSet/>
      <dgm:spPr/>
      <dgm:t>
        <a:bodyPr/>
        <a:lstStyle/>
        <a:p>
          <a:endParaRPr lang="en-GB"/>
        </a:p>
      </dgm:t>
    </dgm:pt>
    <dgm:pt modelId="{254B469D-4A7C-4200-9C62-0D63367A8D8D}">
      <dgm:prSet phldrT="[Text]" custT="1"/>
      <dgm:spPr>
        <a:solidFill>
          <a:schemeClr val="tx2">
            <a:lumMod val="20000"/>
            <a:lumOff val="80000"/>
          </a:schemeClr>
        </a:solidFill>
      </dgm:spPr>
      <dgm:t>
        <a:bodyPr/>
        <a:lstStyle/>
        <a:p>
          <a:r>
            <a:rPr lang="en-GB" sz="1400">
              <a:solidFill>
                <a:sysClr val="windowText" lastClr="000000"/>
              </a:solidFill>
            </a:rPr>
            <a:t>TLR post-holder: AG&amp;T Coordinator</a:t>
          </a:r>
        </a:p>
      </dgm:t>
    </dgm:pt>
    <dgm:pt modelId="{860AE2B9-A2BC-40E3-939F-E48BA7366469}" type="parTrans" cxnId="{CDAC3D11-FF36-4504-92BD-9388A1B45B77}">
      <dgm:prSet/>
      <dgm:spPr/>
      <dgm:t>
        <a:bodyPr/>
        <a:lstStyle/>
        <a:p>
          <a:endParaRPr lang="en-GB"/>
        </a:p>
      </dgm:t>
    </dgm:pt>
    <dgm:pt modelId="{D90E2A4B-4FAD-40FF-B9B8-9B585A7080C1}" type="sibTrans" cxnId="{CDAC3D11-FF36-4504-92BD-9388A1B45B77}">
      <dgm:prSet/>
      <dgm:spPr/>
      <dgm:t>
        <a:bodyPr/>
        <a:lstStyle/>
        <a:p>
          <a:endParaRPr lang="en-GB"/>
        </a:p>
      </dgm:t>
    </dgm:pt>
    <dgm:pt modelId="{8944E87A-8930-45F7-A415-293066E5669F}">
      <dgm:prSet phldrT="[Text]" custT="1"/>
      <dgm:spPr>
        <a:solidFill>
          <a:schemeClr val="tx2">
            <a:lumMod val="40000"/>
            <a:lumOff val="60000"/>
          </a:schemeClr>
        </a:solidFill>
      </dgm:spPr>
      <dgm:t>
        <a:bodyPr/>
        <a:lstStyle/>
        <a:p>
          <a:r>
            <a:rPr lang="en-GB" sz="1400">
              <a:solidFill>
                <a:schemeClr val="tx1"/>
              </a:solidFill>
            </a:rPr>
            <a:t>Assistant Headteacher: Whole School AG&amp;T Strategy</a:t>
          </a:r>
          <a:endParaRPr lang="en-GB" sz="1400"/>
        </a:p>
      </dgm:t>
    </dgm:pt>
    <dgm:pt modelId="{E9BB2CE8-CE21-4B1E-A651-E2B8E6FEEC4A}" type="parTrans" cxnId="{81F83215-9B1E-42DB-808F-179B8B485A43}">
      <dgm:prSet/>
      <dgm:spPr/>
      <dgm:t>
        <a:bodyPr/>
        <a:lstStyle/>
        <a:p>
          <a:endParaRPr lang="en-US"/>
        </a:p>
      </dgm:t>
    </dgm:pt>
    <dgm:pt modelId="{0AAC5878-D97E-4273-8662-59580A9073A4}" type="sibTrans" cxnId="{81F83215-9B1E-42DB-808F-179B8B485A43}">
      <dgm:prSet/>
      <dgm:spPr/>
      <dgm:t>
        <a:bodyPr/>
        <a:lstStyle/>
        <a:p>
          <a:endParaRPr lang="en-US"/>
        </a:p>
      </dgm:t>
    </dgm:pt>
    <dgm:pt modelId="{EA59197B-D1AF-476B-BEB4-3AA82AEC8387}">
      <dgm:prSet phldrT="[Text]" custT="1"/>
      <dgm:spPr>
        <a:solidFill>
          <a:schemeClr val="accent1">
            <a:lumMod val="20000"/>
            <a:lumOff val="80000"/>
          </a:schemeClr>
        </a:solidFill>
      </dgm:spPr>
      <dgm:t>
        <a:bodyPr/>
        <a:lstStyle/>
        <a:p>
          <a:r>
            <a:rPr lang="en-GB" sz="1400">
              <a:solidFill>
                <a:sysClr val="windowText" lastClr="000000"/>
              </a:solidFill>
            </a:rPr>
            <a:t>Faculty AG&amp;T Coodinators</a:t>
          </a:r>
        </a:p>
      </dgm:t>
    </dgm:pt>
    <dgm:pt modelId="{06D75BA7-6FA3-4CEF-B206-1E99220E71C8}" type="parTrans" cxnId="{1F19AE4F-F24E-4641-87D1-CDBC4A19502C}">
      <dgm:prSet/>
      <dgm:spPr/>
      <dgm:t>
        <a:bodyPr/>
        <a:lstStyle/>
        <a:p>
          <a:endParaRPr lang="en-US"/>
        </a:p>
      </dgm:t>
    </dgm:pt>
    <dgm:pt modelId="{412DF2DC-C529-4B97-848E-53A5AA2E2566}" type="sibTrans" cxnId="{1F19AE4F-F24E-4641-87D1-CDBC4A19502C}">
      <dgm:prSet/>
      <dgm:spPr/>
      <dgm:t>
        <a:bodyPr/>
        <a:lstStyle/>
        <a:p>
          <a:endParaRPr lang="en-US"/>
        </a:p>
      </dgm:t>
    </dgm:pt>
    <dgm:pt modelId="{E01E2F72-40D2-4A7A-A64F-84A4702DFB00}">
      <dgm:prSet custT="1"/>
      <dgm:spPr>
        <a:solidFill>
          <a:schemeClr val="accent1">
            <a:lumMod val="20000"/>
            <a:lumOff val="80000"/>
          </a:schemeClr>
        </a:solidFill>
      </dgm:spPr>
      <dgm:t>
        <a:bodyPr/>
        <a:lstStyle/>
        <a:p>
          <a:r>
            <a:rPr lang="en-GB" sz="1400">
              <a:solidFill>
                <a:sysClr val="windowText" lastClr="000000"/>
              </a:solidFill>
            </a:rPr>
            <a:t>AG&amp;T Mentors</a:t>
          </a:r>
        </a:p>
      </dgm:t>
    </dgm:pt>
    <dgm:pt modelId="{2740227E-6498-42A9-BF52-F94AE742B5A1}" type="parTrans" cxnId="{9388F526-FC82-4860-97F0-A984D8639A3B}">
      <dgm:prSet/>
      <dgm:spPr>
        <a:ln>
          <a:solidFill>
            <a:srgbClr val="4774AB"/>
          </a:solidFill>
        </a:ln>
      </dgm:spPr>
      <dgm:t>
        <a:bodyPr/>
        <a:lstStyle/>
        <a:p>
          <a:endParaRPr lang="en-US"/>
        </a:p>
      </dgm:t>
    </dgm:pt>
    <dgm:pt modelId="{A5685939-9ED9-42DF-A816-6184D2BA1081}" type="sibTrans" cxnId="{9388F526-FC82-4860-97F0-A984D8639A3B}">
      <dgm:prSet/>
      <dgm:spPr/>
      <dgm:t>
        <a:bodyPr/>
        <a:lstStyle/>
        <a:p>
          <a:endParaRPr lang="en-US"/>
        </a:p>
      </dgm:t>
    </dgm:pt>
    <dgm:pt modelId="{8AA66F1E-DC09-42CB-978A-4E5A05934BEA}" type="pres">
      <dgm:prSet presAssocID="{C7A01F4F-5963-4AE7-BD59-47CCB7BA3FC3}" presName="diagram" presStyleCnt="0">
        <dgm:presLayoutVars>
          <dgm:chPref val="1"/>
          <dgm:dir/>
          <dgm:animOne val="branch"/>
          <dgm:animLvl val="lvl"/>
          <dgm:resizeHandles val="exact"/>
        </dgm:presLayoutVars>
      </dgm:prSet>
      <dgm:spPr/>
      <dgm:t>
        <a:bodyPr/>
        <a:lstStyle/>
        <a:p>
          <a:endParaRPr lang="en-GB"/>
        </a:p>
      </dgm:t>
    </dgm:pt>
    <dgm:pt modelId="{773A8386-E899-4AA5-B93A-7C1F3C11152C}" type="pres">
      <dgm:prSet presAssocID="{FE5A44AB-91A9-4F6E-8825-86408B4478A9}" presName="root1" presStyleCnt="0"/>
      <dgm:spPr/>
    </dgm:pt>
    <dgm:pt modelId="{35C7472D-6599-47CC-8284-FEE8EB9E8028}" type="pres">
      <dgm:prSet presAssocID="{FE5A44AB-91A9-4F6E-8825-86408B4478A9}" presName="LevelOneTextNode" presStyleLbl="node0" presStyleIdx="0" presStyleCnt="1" custScaleX="123586" custScaleY="142974">
        <dgm:presLayoutVars>
          <dgm:chPref val="3"/>
        </dgm:presLayoutVars>
      </dgm:prSet>
      <dgm:spPr/>
      <dgm:t>
        <a:bodyPr/>
        <a:lstStyle/>
        <a:p>
          <a:endParaRPr lang="en-GB"/>
        </a:p>
      </dgm:t>
    </dgm:pt>
    <dgm:pt modelId="{769CE946-5C32-4BAA-97D6-A398EBF633D8}" type="pres">
      <dgm:prSet presAssocID="{FE5A44AB-91A9-4F6E-8825-86408B4478A9}" presName="level2hierChild" presStyleCnt="0"/>
      <dgm:spPr/>
    </dgm:pt>
    <dgm:pt modelId="{DE204847-857A-4ED4-86C8-46C4FC28F2AE}" type="pres">
      <dgm:prSet presAssocID="{E9BB2CE8-CE21-4B1E-A651-E2B8E6FEEC4A}" presName="conn2-1" presStyleLbl="parChTrans1D2" presStyleIdx="0" presStyleCnt="1"/>
      <dgm:spPr/>
      <dgm:t>
        <a:bodyPr/>
        <a:lstStyle/>
        <a:p>
          <a:endParaRPr lang="en-US"/>
        </a:p>
      </dgm:t>
    </dgm:pt>
    <dgm:pt modelId="{9894B852-7B33-4DCE-BDC9-071C67F60D5A}" type="pres">
      <dgm:prSet presAssocID="{E9BB2CE8-CE21-4B1E-A651-E2B8E6FEEC4A}" presName="connTx" presStyleLbl="parChTrans1D2" presStyleIdx="0" presStyleCnt="1"/>
      <dgm:spPr/>
      <dgm:t>
        <a:bodyPr/>
        <a:lstStyle/>
        <a:p>
          <a:endParaRPr lang="en-US"/>
        </a:p>
      </dgm:t>
    </dgm:pt>
    <dgm:pt modelId="{2C6B0269-303B-4B20-B802-9BEE172A2328}" type="pres">
      <dgm:prSet presAssocID="{8944E87A-8930-45F7-A415-293066E5669F}" presName="root2" presStyleCnt="0"/>
      <dgm:spPr/>
    </dgm:pt>
    <dgm:pt modelId="{6ACD7245-285A-42A8-9645-CABCE945E33A}" type="pres">
      <dgm:prSet presAssocID="{8944E87A-8930-45F7-A415-293066E5669F}" presName="LevelTwoTextNode" presStyleLbl="node2" presStyleIdx="0" presStyleCnt="1" custScaleX="135967" custScaleY="142889">
        <dgm:presLayoutVars>
          <dgm:chPref val="3"/>
        </dgm:presLayoutVars>
      </dgm:prSet>
      <dgm:spPr/>
      <dgm:t>
        <a:bodyPr/>
        <a:lstStyle/>
        <a:p>
          <a:endParaRPr lang="en-US"/>
        </a:p>
      </dgm:t>
    </dgm:pt>
    <dgm:pt modelId="{2CF21023-1F67-4D89-B4C3-4749CE424477}" type="pres">
      <dgm:prSet presAssocID="{8944E87A-8930-45F7-A415-293066E5669F}" presName="level3hierChild" presStyleCnt="0"/>
      <dgm:spPr/>
    </dgm:pt>
    <dgm:pt modelId="{468EB99C-6500-442E-B90A-27928B26EA3A}" type="pres">
      <dgm:prSet presAssocID="{860AE2B9-A2BC-40E3-939F-E48BA7366469}" presName="conn2-1" presStyleLbl="parChTrans1D3" presStyleIdx="0" presStyleCnt="3"/>
      <dgm:spPr/>
      <dgm:t>
        <a:bodyPr/>
        <a:lstStyle/>
        <a:p>
          <a:endParaRPr lang="en-GB"/>
        </a:p>
      </dgm:t>
    </dgm:pt>
    <dgm:pt modelId="{C65F2484-52DD-41E7-86B7-E99C24CAFF75}" type="pres">
      <dgm:prSet presAssocID="{860AE2B9-A2BC-40E3-939F-E48BA7366469}" presName="connTx" presStyleLbl="parChTrans1D3" presStyleIdx="0" presStyleCnt="3"/>
      <dgm:spPr/>
      <dgm:t>
        <a:bodyPr/>
        <a:lstStyle/>
        <a:p>
          <a:endParaRPr lang="en-GB"/>
        </a:p>
      </dgm:t>
    </dgm:pt>
    <dgm:pt modelId="{07CD4650-BC85-477F-B03A-459E18125241}" type="pres">
      <dgm:prSet presAssocID="{254B469D-4A7C-4200-9C62-0D63367A8D8D}" presName="root2" presStyleCnt="0"/>
      <dgm:spPr/>
    </dgm:pt>
    <dgm:pt modelId="{DE0056C2-A7C7-4EB5-A831-EBAF1879EF04}" type="pres">
      <dgm:prSet presAssocID="{254B469D-4A7C-4200-9C62-0D63367A8D8D}" presName="LevelTwoTextNode" presStyleLbl="node3" presStyleIdx="0" presStyleCnt="3" custLinFactNeighborX="396" custLinFactNeighborY="-114">
        <dgm:presLayoutVars>
          <dgm:chPref val="3"/>
        </dgm:presLayoutVars>
      </dgm:prSet>
      <dgm:spPr/>
      <dgm:t>
        <a:bodyPr/>
        <a:lstStyle/>
        <a:p>
          <a:endParaRPr lang="en-GB"/>
        </a:p>
      </dgm:t>
    </dgm:pt>
    <dgm:pt modelId="{0AB3A2E6-A706-4BA9-A16B-DDE122F58E80}" type="pres">
      <dgm:prSet presAssocID="{254B469D-4A7C-4200-9C62-0D63367A8D8D}" presName="level3hierChild" presStyleCnt="0"/>
      <dgm:spPr/>
    </dgm:pt>
    <dgm:pt modelId="{5C0C14DD-B495-4D3D-89A9-30775FC89C87}" type="pres">
      <dgm:prSet presAssocID="{06D75BA7-6FA3-4CEF-B206-1E99220E71C8}" presName="conn2-1" presStyleLbl="parChTrans1D3" presStyleIdx="1" presStyleCnt="3"/>
      <dgm:spPr/>
      <dgm:t>
        <a:bodyPr/>
        <a:lstStyle/>
        <a:p>
          <a:endParaRPr lang="en-US"/>
        </a:p>
      </dgm:t>
    </dgm:pt>
    <dgm:pt modelId="{76D23FF6-BE3C-4E2D-9D38-6FF7EF3AEDD3}" type="pres">
      <dgm:prSet presAssocID="{06D75BA7-6FA3-4CEF-B206-1E99220E71C8}" presName="connTx" presStyleLbl="parChTrans1D3" presStyleIdx="1" presStyleCnt="3"/>
      <dgm:spPr/>
      <dgm:t>
        <a:bodyPr/>
        <a:lstStyle/>
        <a:p>
          <a:endParaRPr lang="en-US"/>
        </a:p>
      </dgm:t>
    </dgm:pt>
    <dgm:pt modelId="{7819AD47-6168-4FDF-92ED-AE73F46D1AEE}" type="pres">
      <dgm:prSet presAssocID="{EA59197B-D1AF-476B-BEB4-3AA82AEC8387}" presName="root2" presStyleCnt="0"/>
      <dgm:spPr/>
    </dgm:pt>
    <dgm:pt modelId="{D6622445-0406-43D7-AF2D-CC0FAF4DE8BD}" type="pres">
      <dgm:prSet presAssocID="{EA59197B-D1AF-476B-BEB4-3AA82AEC8387}" presName="LevelTwoTextNode" presStyleLbl="node3" presStyleIdx="1" presStyleCnt="3">
        <dgm:presLayoutVars>
          <dgm:chPref val="3"/>
        </dgm:presLayoutVars>
      </dgm:prSet>
      <dgm:spPr/>
      <dgm:t>
        <a:bodyPr/>
        <a:lstStyle/>
        <a:p>
          <a:endParaRPr lang="en-US"/>
        </a:p>
      </dgm:t>
    </dgm:pt>
    <dgm:pt modelId="{B35FA9F3-C0F6-4065-8F00-8C2810437221}" type="pres">
      <dgm:prSet presAssocID="{EA59197B-D1AF-476B-BEB4-3AA82AEC8387}" presName="level3hierChild" presStyleCnt="0"/>
      <dgm:spPr/>
    </dgm:pt>
    <dgm:pt modelId="{2D49FEE9-BCE1-4BB9-995D-363FFA41A077}" type="pres">
      <dgm:prSet presAssocID="{2740227E-6498-42A9-BF52-F94AE742B5A1}" presName="conn2-1" presStyleLbl="parChTrans1D3" presStyleIdx="2" presStyleCnt="3"/>
      <dgm:spPr/>
      <dgm:t>
        <a:bodyPr/>
        <a:lstStyle/>
        <a:p>
          <a:endParaRPr lang="en-US"/>
        </a:p>
      </dgm:t>
    </dgm:pt>
    <dgm:pt modelId="{59F432B2-AA88-4139-97A8-6F255F5ACEE7}" type="pres">
      <dgm:prSet presAssocID="{2740227E-6498-42A9-BF52-F94AE742B5A1}" presName="connTx" presStyleLbl="parChTrans1D3" presStyleIdx="2" presStyleCnt="3"/>
      <dgm:spPr/>
      <dgm:t>
        <a:bodyPr/>
        <a:lstStyle/>
        <a:p>
          <a:endParaRPr lang="en-US"/>
        </a:p>
      </dgm:t>
    </dgm:pt>
    <dgm:pt modelId="{8AB17238-635D-4A76-9907-157142D95036}" type="pres">
      <dgm:prSet presAssocID="{E01E2F72-40D2-4A7A-A64F-84A4702DFB00}" presName="root2" presStyleCnt="0"/>
      <dgm:spPr/>
    </dgm:pt>
    <dgm:pt modelId="{8D15DF0D-0CD4-4B93-AE1B-1178C9643628}" type="pres">
      <dgm:prSet presAssocID="{E01E2F72-40D2-4A7A-A64F-84A4702DFB00}" presName="LevelTwoTextNode" presStyleLbl="node3" presStyleIdx="2" presStyleCnt="3" custLinFactNeighborX="5107" custLinFactNeighborY="1857">
        <dgm:presLayoutVars>
          <dgm:chPref val="3"/>
        </dgm:presLayoutVars>
      </dgm:prSet>
      <dgm:spPr/>
      <dgm:t>
        <a:bodyPr/>
        <a:lstStyle/>
        <a:p>
          <a:endParaRPr lang="en-US"/>
        </a:p>
      </dgm:t>
    </dgm:pt>
    <dgm:pt modelId="{8EEF9D99-17C0-4D12-A87F-57335744FB55}" type="pres">
      <dgm:prSet presAssocID="{E01E2F72-40D2-4A7A-A64F-84A4702DFB00}" presName="level3hierChild" presStyleCnt="0"/>
      <dgm:spPr/>
    </dgm:pt>
  </dgm:ptLst>
  <dgm:cxnLst>
    <dgm:cxn modelId="{9E0BF1B2-EFAA-4BC3-BDDB-677EA2B91352}" type="presOf" srcId="{860AE2B9-A2BC-40E3-939F-E48BA7366469}" destId="{C65F2484-52DD-41E7-86B7-E99C24CAFF75}" srcOrd="1" destOrd="0" presId="urn:microsoft.com/office/officeart/2005/8/layout/hierarchy2"/>
    <dgm:cxn modelId="{9388F526-FC82-4860-97F0-A984D8639A3B}" srcId="{8944E87A-8930-45F7-A415-293066E5669F}" destId="{E01E2F72-40D2-4A7A-A64F-84A4702DFB00}" srcOrd="2" destOrd="0" parTransId="{2740227E-6498-42A9-BF52-F94AE742B5A1}" sibTransId="{A5685939-9ED9-42DF-A816-6184D2BA1081}"/>
    <dgm:cxn modelId="{CDAC3D11-FF36-4504-92BD-9388A1B45B77}" srcId="{8944E87A-8930-45F7-A415-293066E5669F}" destId="{254B469D-4A7C-4200-9C62-0D63367A8D8D}" srcOrd="0" destOrd="0" parTransId="{860AE2B9-A2BC-40E3-939F-E48BA7366469}" sibTransId="{D90E2A4B-4FAD-40FF-B9B8-9B585A7080C1}"/>
    <dgm:cxn modelId="{92F709E7-FCEF-4359-97A5-65A36B42C8A6}" type="presOf" srcId="{8944E87A-8930-45F7-A415-293066E5669F}" destId="{6ACD7245-285A-42A8-9645-CABCE945E33A}" srcOrd="0" destOrd="0" presId="urn:microsoft.com/office/officeart/2005/8/layout/hierarchy2"/>
    <dgm:cxn modelId="{9DB50602-3E42-47EB-8C07-47BF7CBBCFCD}" type="presOf" srcId="{E9BB2CE8-CE21-4B1E-A651-E2B8E6FEEC4A}" destId="{DE204847-857A-4ED4-86C8-46C4FC28F2AE}" srcOrd="0" destOrd="0" presId="urn:microsoft.com/office/officeart/2005/8/layout/hierarchy2"/>
    <dgm:cxn modelId="{B154F81C-B9BB-490A-9F93-4011BECD83F4}" type="presOf" srcId="{06D75BA7-6FA3-4CEF-B206-1E99220E71C8}" destId="{5C0C14DD-B495-4D3D-89A9-30775FC89C87}" srcOrd="0" destOrd="0" presId="urn:microsoft.com/office/officeart/2005/8/layout/hierarchy2"/>
    <dgm:cxn modelId="{F6A3B5C5-2267-4773-8AA3-E02DB4581602}" type="presOf" srcId="{2740227E-6498-42A9-BF52-F94AE742B5A1}" destId="{2D49FEE9-BCE1-4BB9-995D-363FFA41A077}" srcOrd="0" destOrd="0" presId="urn:microsoft.com/office/officeart/2005/8/layout/hierarchy2"/>
    <dgm:cxn modelId="{885CC4C9-41BB-421D-B43D-2C7CC79AEA30}" srcId="{C7A01F4F-5963-4AE7-BD59-47CCB7BA3FC3}" destId="{FE5A44AB-91A9-4F6E-8825-86408B4478A9}" srcOrd="0" destOrd="0" parTransId="{E15719DB-0BA5-406A-8D73-FAF173B86132}" sibTransId="{84A6AC4F-E464-415C-BF7D-A7170B30A34D}"/>
    <dgm:cxn modelId="{59284470-CB8E-47E5-B361-62ADDBD34EA5}" type="presOf" srcId="{C7A01F4F-5963-4AE7-BD59-47CCB7BA3FC3}" destId="{8AA66F1E-DC09-42CB-978A-4E5A05934BEA}" srcOrd="0" destOrd="0" presId="urn:microsoft.com/office/officeart/2005/8/layout/hierarchy2"/>
    <dgm:cxn modelId="{81F83215-9B1E-42DB-808F-179B8B485A43}" srcId="{FE5A44AB-91A9-4F6E-8825-86408B4478A9}" destId="{8944E87A-8930-45F7-A415-293066E5669F}" srcOrd="0" destOrd="0" parTransId="{E9BB2CE8-CE21-4B1E-A651-E2B8E6FEEC4A}" sibTransId="{0AAC5878-D97E-4273-8662-59580A9073A4}"/>
    <dgm:cxn modelId="{2CD03954-7A01-435C-BDA7-424A78FD5C9F}" type="presOf" srcId="{E01E2F72-40D2-4A7A-A64F-84A4702DFB00}" destId="{8D15DF0D-0CD4-4B93-AE1B-1178C9643628}" srcOrd="0" destOrd="0" presId="urn:microsoft.com/office/officeart/2005/8/layout/hierarchy2"/>
    <dgm:cxn modelId="{B4E6632A-77FB-4D45-8847-11BA8E1A5E6B}" type="presOf" srcId="{E9BB2CE8-CE21-4B1E-A651-E2B8E6FEEC4A}" destId="{9894B852-7B33-4DCE-BDC9-071C67F60D5A}" srcOrd="1" destOrd="0" presId="urn:microsoft.com/office/officeart/2005/8/layout/hierarchy2"/>
    <dgm:cxn modelId="{25461751-829A-446F-9500-5AB6625079E0}" type="presOf" srcId="{EA59197B-D1AF-476B-BEB4-3AA82AEC8387}" destId="{D6622445-0406-43D7-AF2D-CC0FAF4DE8BD}" srcOrd="0" destOrd="0" presId="urn:microsoft.com/office/officeart/2005/8/layout/hierarchy2"/>
    <dgm:cxn modelId="{B5E0A110-0779-42C4-95CA-E7B9141D12F2}" type="presOf" srcId="{2740227E-6498-42A9-BF52-F94AE742B5A1}" destId="{59F432B2-AA88-4139-97A8-6F255F5ACEE7}" srcOrd="1" destOrd="0" presId="urn:microsoft.com/office/officeart/2005/8/layout/hierarchy2"/>
    <dgm:cxn modelId="{581CBB05-CF61-47FF-A6FA-05A06FCB542E}" type="presOf" srcId="{06D75BA7-6FA3-4CEF-B206-1E99220E71C8}" destId="{76D23FF6-BE3C-4E2D-9D38-6FF7EF3AEDD3}" srcOrd="1" destOrd="0" presId="urn:microsoft.com/office/officeart/2005/8/layout/hierarchy2"/>
    <dgm:cxn modelId="{1B73D9E0-5488-4323-A351-4C97453C825D}" type="presOf" srcId="{FE5A44AB-91A9-4F6E-8825-86408B4478A9}" destId="{35C7472D-6599-47CC-8284-FEE8EB9E8028}" srcOrd="0" destOrd="0" presId="urn:microsoft.com/office/officeart/2005/8/layout/hierarchy2"/>
    <dgm:cxn modelId="{8645A7FE-A5CC-4C9E-A16F-ECE84DFF8097}" type="presOf" srcId="{254B469D-4A7C-4200-9C62-0D63367A8D8D}" destId="{DE0056C2-A7C7-4EB5-A831-EBAF1879EF04}" srcOrd="0" destOrd="0" presId="urn:microsoft.com/office/officeart/2005/8/layout/hierarchy2"/>
    <dgm:cxn modelId="{1F19AE4F-F24E-4641-87D1-CDBC4A19502C}" srcId="{8944E87A-8930-45F7-A415-293066E5669F}" destId="{EA59197B-D1AF-476B-BEB4-3AA82AEC8387}" srcOrd="1" destOrd="0" parTransId="{06D75BA7-6FA3-4CEF-B206-1E99220E71C8}" sibTransId="{412DF2DC-C529-4B97-848E-53A5AA2E2566}"/>
    <dgm:cxn modelId="{D905978F-C8B2-4787-B1E0-2E93C5702BC2}" type="presOf" srcId="{860AE2B9-A2BC-40E3-939F-E48BA7366469}" destId="{468EB99C-6500-442E-B90A-27928B26EA3A}" srcOrd="0" destOrd="0" presId="urn:microsoft.com/office/officeart/2005/8/layout/hierarchy2"/>
    <dgm:cxn modelId="{000AE9D9-05B2-4F01-B238-95AFFD80989A}" type="presParOf" srcId="{8AA66F1E-DC09-42CB-978A-4E5A05934BEA}" destId="{773A8386-E899-4AA5-B93A-7C1F3C11152C}" srcOrd="0" destOrd="0" presId="urn:microsoft.com/office/officeart/2005/8/layout/hierarchy2"/>
    <dgm:cxn modelId="{202EFAE9-48A7-45A0-85E4-140144C6523B}" type="presParOf" srcId="{773A8386-E899-4AA5-B93A-7C1F3C11152C}" destId="{35C7472D-6599-47CC-8284-FEE8EB9E8028}" srcOrd="0" destOrd="0" presId="urn:microsoft.com/office/officeart/2005/8/layout/hierarchy2"/>
    <dgm:cxn modelId="{DF0354A1-9102-45BC-BC80-F4589C61BA0E}" type="presParOf" srcId="{773A8386-E899-4AA5-B93A-7C1F3C11152C}" destId="{769CE946-5C32-4BAA-97D6-A398EBF633D8}" srcOrd="1" destOrd="0" presId="urn:microsoft.com/office/officeart/2005/8/layout/hierarchy2"/>
    <dgm:cxn modelId="{B61570A6-7B80-4053-83D4-04CAEA2ADE63}" type="presParOf" srcId="{769CE946-5C32-4BAA-97D6-A398EBF633D8}" destId="{DE204847-857A-4ED4-86C8-46C4FC28F2AE}" srcOrd="0" destOrd="0" presId="urn:microsoft.com/office/officeart/2005/8/layout/hierarchy2"/>
    <dgm:cxn modelId="{4792D901-C813-4431-B66A-84E76EDFCFE2}" type="presParOf" srcId="{DE204847-857A-4ED4-86C8-46C4FC28F2AE}" destId="{9894B852-7B33-4DCE-BDC9-071C67F60D5A}" srcOrd="0" destOrd="0" presId="urn:microsoft.com/office/officeart/2005/8/layout/hierarchy2"/>
    <dgm:cxn modelId="{F7255940-C484-41D1-A81F-A99968C42DB5}" type="presParOf" srcId="{769CE946-5C32-4BAA-97D6-A398EBF633D8}" destId="{2C6B0269-303B-4B20-B802-9BEE172A2328}" srcOrd="1" destOrd="0" presId="urn:microsoft.com/office/officeart/2005/8/layout/hierarchy2"/>
    <dgm:cxn modelId="{C2041895-C53B-403C-A494-A279B8967BE5}" type="presParOf" srcId="{2C6B0269-303B-4B20-B802-9BEE172A2328}" destId="{6ACD7245-285A-42A8-9645-CABCE945E33A}" srcOrd="0" destOrd="0" presId="urn:microsoft.com/office/officeart/2005/8/layout/hierarchy2"/>
    <dgm:cxn modelId="{DCC7DD15-AB44-4A59-9994-B5DC09A91753}" type="presParOf" srcId="{2C6B0269-303B-4B20-B802-9BEE172A2328}" destId="{2CF21023-1F67-4D89-B4C3-4749CE424477}" srcOrd="1" destOrd="0" presId="urn:microsoft.com/office/officeart/2005/8/layout/hierarchy2"/>
    <dgm:cxn modelId="{A6B6B934-92A2-4B9B-95BB-2CD11AAE1D26}" type="presParOf" srcId="{2CF21023-1F67-4D89-B4C3-4749CE424477}" destId="{468EB99C-6500-442E-B90A-27928B26EA3A}" srcOrd="0" destOrd="0" presId="urn:microsoft.com/office/officeart/2005/8/layout/hierarchy2"/>
    <dgm:cxn modelId="{136E1AC0-77D1-46B1-9431-1592D388C252}" type="presParOf" srcId="{468EB99C-6500-442E-B90A-27928B26EA3A}" destId="{C65F2484-52DD-41E7-86B7-E99C24CAFF75}" srcOrd="0" destOrd="0" presId="urn:microsoft.com/office/officeart/2005/8/layout/hierarchy2"/>
    <dgm:cxn modelId="{1785A036-03F6-4B77-8E10-4F6DF53A3FE4}" type="presParOf" srcId="{2CF21023-1F67-4D89-B4C3-4749CE424477}" destId="{07CD4650-BC85-477F-B03A-459E18125241}" srcOrd="1" destOrd="0" presId="urn:microsoft.com/office/officeart/2005/8/layout/hierarchy2"/>
    <dgm:cxn modelId="{865FD439-F5B3-451E-A67F-0B77A0307097}" type="presParOf" srcId="{07CD4650-BC85-477F-B03A-459E18125241}" destId="{DE0056C2-A7C7-4EB5-A831-EBAF1879EF04}" srcOrd="0" destOrd="0" presId="urn:microsoft.com/office/officeart/2005/8/layout/hierarchy2"/>
    <dgm:cxn modelId="{B56579AF-636C-4DFE-801F-E8D283C00960}" type="presParOf" srcId="{07CD4650-BC85-477F-B03A-459E18125241}" destId="{0AB3A2E6-A706-4BA9-A16B-DDE122F58E80}" srcOrd="1" destOrd="0" presId="urn:microsoft.com/office/officeart/2005/8/layout/hierarchy2"/>
    <dgm:cxn modelId="{3FEE14D1-EDF4-4F6C-BBDC-63F1AD7E0CD8}" type="presParOf" srcId="{2CF21023-1F67-4D89-B4C3-4749CE424477}" destId="{5C0C14DD-B495-4D3D-89A9-30775FC89C87}" srcOrd="2" destOrd="0" presId="urn:microsoft.com/office/officeart/2005/8/layout/hierarchy2"/>
    <dgm:cxn modelId="{862496D0-FDE5-4423-8BF4-BE500D7FBBD2}" type="presParOf" srcId="{5C0C14DD-B495-4D3D-89A9-30775FC89C87}" destId="{76D23FF6-BE3C-4E2D-9D38-6FF7EF3AEDD3}" srcOrd="0" destOrd="0" presId="urn:microsoft.com/office/officeart/2005/8/layout/hierarchy2"/>
    <dgm:cxn modelId="{66945D50-DEE8-4BEC-9EA2-9C276261E261}" type="presParOf" srcId="{2CF21023-1F67-4D89-B4C3-4749CE424477}" destId="{7819AD47-6168-4FDF-92ED-AE73F46D1AEE}" srcOrd="3" destOrd="0" presId="urn:microsoft.com/office/officeart/2005/8/layout/hierarchy2"/>
    <dgm:cxn modelId="{1862B584-F46C-419E-9241-989B48FB021F}" type="presParOf" srcId="{7819AD47-6168-4FDF-92ED-AE73F46D1AEE}" destId="{D6622445-0406-43D7-AF2D-CC0FAF4DE8BD}" srcOrd="0" destOrd="0" presId="urn:microsoft.com/office/officeart/2005/8/layout/hierarchy2"/>
    <dgm:cxn modelId="{A944DFD8-798B-4E7B-B41A-0B05E88F7F3A}" type="presParOf" srcId="{7819AD47-6168-4FDF-92ED-AE73F46D1AEE}" destId="{B35FA9F3-C0F6-4065-8F00-8C2810437221}" srcOrd="1" destOrd="0" presId="urn:microsoft.com/office/officeart/2005/8/layout/hierarchy2"/>
    <dgm:cxn modelId="{FEA69844-946C-49B5-AAB3-F811F4C01A8C}" type="presParOf" srcId="{2CF21023-1F67-4D89-B4C3-4749CE424477}" destId="{2D49FEE9-BCE1-4BB9-995D-363FFA41A077}" srcOrd="4" destOrd="0" presId="urn:microsoft.com/office/officeart/2005/8/layout/hierarchy2"/>
    <dgm:cxn modelId="{E1AF5026-B71E-441A-AED7-911BF87191D2}" type="presParOf" srcId="{2D49FEE9-BCE1-4BB9-995D-363FFA41A077}" destId="{59F432B2-AA88-4139-97A8-6F255F5ACEE7}" srcOrd="0" destOrd="0" presId="urn:microsoft.com/office/officeart/2005/8/layout/hierarchy2"/>
    <dgm:cxn modelId="{7F5F6AF7-1560-4B65-9DFF-BE493B06D34A}" type="presParOf" srcId="{2CF21023-1F67-4D89-B4C3-4749CE424477}" destId="{8AB17238-635D-4A76-9907-157142D95036}" srcOrd="5" destOrd="0" presId="urn:microsoft.com/office/officeart/2005/8/layout/hierarchy2"/>
    <dgm:cxn modelId="{9B9A6F7D-680E-44FA-8D96-53781A2F92A1}" type="presParOf" srcId="{8AB17238-635D-4A76-9907-157142D95036}" destId="{8D15DF0D-0CD4-4B93-AE1B-1178C9643628}" srcOrd="0" destOrd="0" presId="urn:microsoft.com/office/officeart/2005/8/layout/hierarchy2"/>
    <dgm:cxn modelId="{969635A1-FCF0-4ED5-8F2D-F5F11FB2902A}" type="presParOf" srcId="{8AB17238-635D-4A76-9907-157142D95036}" destId="{8EEF9D99-17C0-4D12-A87F-57335744FB55}" srcOrd="1" destOrd="0" presId="urn:microsoft.com/office/officeart/2005/8/layout/hierarchy2"/>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149318-CB17-439A-AC39-025B927C68F8}">
      <dsp:nvSpPr>
        <dsp:cNvPr id="0" name=""/>
        <dsp:cNvSpPr/>
      </dsp:nvSpPr>
      <dsp:spPr>
        <a:xfrm>
          <a:off x="2046736" y="0"/>
          <a:ext cx="2046736" cy="2401019"/>
        </a:xfrm>
        <a:prstGeom prst="trapezoid">
          <a:avLst>
            <a:gd name="adj" fmla="val 5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Wave 3</a:t>
          </a:r>
        </a:p>
        <a:p>
          <a:pPr lvl="0" algn="ctr" defTabSz="622300">
            <a:lnSpc>
              <a:spcPct val="90000"/>
            </a:lnSpc>
            <a:spcBef>
              <a:spcPct val="0"/>
            </a:spcBef>
            <a:spcAft>
              <a:spcPct val="35000"/>
            </a:spcAft>
          </a:pPr>
          <a:r>
            <a:rPr lang="en-GB" sz="1200" b="1" kern="1200"/>
            <a:t>Targeted support for individuals:</a:t>
          </a:r>
        </a:p>
        <a:p>
          <a:pPr lvl="0" algn="ctr" defTabSz="622300">
            <a:lnSpc>
              <a:spcPct val="90000"/>
            </a:lnSpc>
            <a:spcBef>
              <a:spcPct val="0"/>
            </a:spcBef>
            <a:spcAft>
              <a:spcPct val="35000"/>
            </a:spcAft>
          </a:pPr>
          <a:r>
            <a:rPr lang="en-GB" sz="1200" kern="1200"/>
            <a:t> 1:1 mentoring for AG&amp;T underachievers</a:t>
          </a:r>
        </a:p>
        <a:p>
          <a:pPr lvl="0" algn="ctr" defTabSz="622300">
            <a:lnSpc>
              <a:spcPct val="90000"/>
            </a:lnSpc>
            <a:spcBef>
              <a:spcPct val="0"/>
            </a:spcBef>
            <a:spcAft>
              <a:spcPct val="35000"/>
            </a:spcAft>
          </a:pPr>
          <a:r>
            <a:rPr lang="en-GB" sz="1200" kern="1200"/>
            <a:t>Bursaries</a:t>
          </a:r>
        </a:p>
      </dsp:txBody>
      <dsp:txXfrm>
        <a:off x="2046736" y="0"/>
        <a:ext cx="2046736" cy="2401019"/>
      </dsp:txXfrm>
    </dsp:sp>
    <dsp:sp modelId="{154098C5-CD04-4685-8FDF-F6E01842377A}">
      <dsp:nvSpPr>
        <dsp:cNvPr id="0" name=""/>
        <dsp:cNvSpPr/>
      </dsp:nvSpPr>
      <dsp:spPr>
        <a:xfrm>
          <a:off x="1023368" y="2401019"/>
          <a:ext cx="4093473" cy="2401019"/>
        </a:xfrm>
        <a:prstGeom prst="trapezoid">
          <a:avLst>
            <a:gd name="adj" fmla="val 42622"/>
          </a:avLst>
        </a:prstGeom>
        <a:solidFill>
          <a:schemeClr val="bg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Wave 2</a:t>
          </a:r>
        </a:p>
        <a:p>
          <a:pPr lvl="0" algn="ctr" defTabSz="622300">
            <a:lnSpc>
              <a:spcPct val="90000"/>
            </a:lnSpc>
            <a:spcBef>
              <a:spcPct val="0"/>
            </a:spcBef>
            <a:spcAft>
              <a:spcPct val="35000"/>
            </a:spcAft>
          </a:pPr>
          <a:r>
            <a:rPr lang="en-GB" sz="1200" b="1" kern="1200"/>
            <a:t>Enrichment and enhancement:</a:t>
          </a:r>
        </a:p>
        <a:p>
          <a:pPr lvl="0" algn="ctr" defTabSz="622300">
            <a:lnSpc>
              <a:spcPct val="90000"/>
            </a:lnSpc>
            <a:spcBef>
              <a:spcPct val="0"/>
            </a:spcBef>
            <a:spcAft>
              <a:spcPct val="35000"/>
            </a:spcAft>
          </a:pPr>
          <a:r>
            <a:rPr lang="en-GB" sz="1200" b="0" kern="1200"/>
            <a:t>Extra-curricular activities</a:t>
          </a:r>
        </a:p>
        <a:p>
          <a:pPr lvl="0" algn="ctr" defTabSz="622300">
            <a:lnSpc>
              <a:spcPct val="90000"/>
            </a:lnSpc>
            <a:spcBef>
              <a:spcPct val="0"/>
            </a:spcBef>
            <a:spcAft>
              <a:spcPct val="35000"/>
            </a:spcAft>
          </a:pPr>
          <a:r>
            <a:rPr lang="en-GB" sz="1200" kern="1200"/>
            <a:t>Masterclasses</a:t>
          </a:r>
        </a:p>
        <a:p>
          <a:pPr lvl="0" algn="ctr" defTabSz="622300">
            <a:lnSpc>
              <a:spcPct val="90000"/>
            </a:lnSpc>
            <a:spcBef>
              <a:spcPct val="0"/>
            </a:spcBef>
            <a:spcAft>
              <a:spcPct val="35000"/>
            </a:spcAft>
          </a:pPr>
          <a:r>
            <a:rPr lang="en-GB" sz="1200" kern="1200"/>
            <a:t>National competitions</a:t>
          </a:r>
        </a:p>
        <a:p>
          <a:pPr lvl="0" algn="ctr" defTabSz="622300">
            <a:lnSpc>
              <a:spcPct val="90000"/>
            </a:lnSpc>
            <a:spcBef>
              <a:spcPct val="0"/>
            </a:spcBef>
            <a:spcAft>
              <a:spcPct val="35000"/>
            </a:spcAft>
          </a:pPr>
          <a:r>
            <a:rPr lang="en-GB" sz="1200" kern="1200"/>
            <a:t>Conferences</a:t>
          </a:r>
        </a:p>
        <a:p>
          <a:pPr lvl="0" algn="ctr" defTabSz="622300">
            <a:lnSpc>
              <a:spcPct val="90000"/>
            </a:lnSpc>
            <a:spcBef>
              <a:spcPct val="0"/>
            </a:spcBef>
            <a:spcAft>
              <a:spcPct val="35000"/>
            </a:spcAft>
          </a:pPr>
          <a:r>
            <a:rPr lang="en-GB" sz="1200" kern="1200"/>
            <a:t>Student Leaders</a:t>
          </a:r>
        </a:p>
        <a:p>
          <a:pPr lvl="0" algn="ctr" defTabSz="622300">
            <a:lnSpc>
              <a:spcPct val="90000"/>
            </a:lnSpc>
            <a:spcBef>
              <a:spcPct val="0"/>
            </a:spcBef>
            <a:spcAft>
              <a:spcPct val="35000"/>
            </a:spcAft>
          </a:pPr>
          <a:r>
            <a:rPr lang="en-GB" sz="1200" kern="1200"/>
            <a:t>Activities for Yr 5&amp;6 primary school pupils</a:t>
          </a:r>
        </a:p>
      </dsp:txBody>
      <dsp:txXfrm>
        <a:off x="1739726" y="2401019"/>
        <a:ext cx="2660757" cy="2401019"/>
      </dsp:txXfrm>
    </dsp:sp>
    <dsp:sp modelId="{A5711CB6-C3E0-4EFC-BDC3-1DE2C47513FA}">
      <dsp:nvSpPr>
        <dsp:cNvPr id="0" name=""/>
        <dsp:cNvSpPr/>
      </dsp:nvSpPr>
      <dsp:spPr>
        <a:xfrm>
          <a:off x="0" y="4802038"/>
          <a:ext cx="6140210" cy="2401019"/>
        </a:xfrm>
        <a:prstGeom prst="trapezoid">
          <a:avLst>
            <a:gd name="adj" fmla="val 42622"/>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b="1" kern="1200"/>
            <a:t>Wave 1</a:t>
          </a:r>
        </a:p>
        <a:p>
          <a:pPr lvl="0" algn="ctr" defTabSz="622300">
            <a:lnSpc>
              <a:spcPct val="90000"/>
            </a:lnSpc>
            <a:spcBef>
              <a:spcPct val="0"/>
            </a:spcBef>
            <a:spcAft>
              <a:spcPct val="35000"/>
            </a:spcAft>
          </a:pPr>
          <a:r>
            <a:rPr lang="en-GB" sz="1200" b="1" kern="1200"/>
            <a:t>Within the curriculum:</a:t>
          </a:r>
        </a:p>
        <a:p>
          <a:pPr lvl="0" algn="ctr" defTabSz="622300">
            <a:lnSpc>
              <a:spcPct val="90000"/>
            </a:lnSpc>
            <a:spcBef>
              <a:spcPct val="0"/>
            </a:spcBef>
            <a:spcAft>
              <a:spcPct val="35000"/>
            </a:spcAft>
          </a:pPr>
          <a:r>
            <a:rPr lang="en-GB" sz="1200" b="0" kern="1200"/>
            <a:t>Setting and streaming in the curriculum model</a:t>
          </a:r>
        </a:p>
        <a:p>
          <a:pPr lvl="0" algn="ctr" defTabSz="622300">
            <a:lnSpc>
              <a:spcPct val="90000"/>
            </a:lnSpc>
            <a:spcBef>
              <a:spcPct val="0"/>
            </a:spcBef>
            <a:spcAft>
              <a:spcPct val="35000"/>
            </a:spcAft>
          </a:pPr>
          <a:r>
            <a:rPr lang="en-GB" sz="1200" b="0" kern="1200"/>
            <a:t>Differentiated curriculum through programmes of study</a:t>
          </a:r>
        </a:p>
        <a:p>
          <a:pPr lvl="0" algn="ctr" defTabSz="622300">
            <a:lnSpc>
              <a:spcPct val="90000"/>
            </a:lnSpc>
            <a:spcBef>
              <a:spcPct val="0"/>
            </a:spcBef>
            <a:spcAft>
              <a:spcPct val="35000"/>
            </a:spcAft>
          </a:pPr>
          <a:r>
            <a:rPr lang="en-GB" sz="1200" b="0" kern="1200"/>
            <a:t>Good inclusive classroom practice</a:t>
          </a:r>
        </a:p>
      </dsp:txBody>
      <dsp:txXfrm>
        <a:off x="1074536" y="4802038"/>
        <a:ext cx="3991136" cy="24010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7472D-6599-47CC-8284-FEE8EB9E8028}">
      <dsp:nvSpPr>
        <dsp:cNvPr id="0" name=""/>
        <dsp:cNvSpPr/>
      </dsp:nvSpPr>
      <dsp:spPr>
        <a:xfrm>
          <a:off x="5502" y="784331"/>
          <a:ext cx="1717659" cy="993561"/>
        </a:xfrm>
        <a:prstGeom prst="roundRect">
          <a:avLst>
            <a:gd name="adj" fmla="val 10000"/>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0" kern="1200">
              <a:solidFill>
                <a:sysClr val="windowText" lastClr="000000"/>
              </a:solidFill>
            </a:rPr>
            <a:t>Deputy Headteacher: Strategic Overview</a:t>
          </a:r>
          <a:endParaRPr lang="en-GB" sz="1400" kern="1200"/>
        </a:p>
      </dsp:txBody>
      <dsp:txXfrm>
        <a:off x="34602" y="813431"/>
        <a:ext cx="1659459" cy="935361"/>
      </dsp:txXfrm>
    </dsp:sp>
    <dsp:sp modelId="{DE204847-857A-4ED4-86C8-46C4FC28F2AE}">
      <dsp:nvSpPr>
        <dsp:cNvPr id="0" name=""/>
        <dsp:cNvSpPr/>
      </dsp:nvSpPr>
      <dsp:spPr>
        <a:xfrm>
          <a:off x="1723161" y="1256702"/>
          <a:ext cx="555939" cy="48819"/>
        </a:xfrm>
        <a:custGeom>
          <a:avLst/>
          <a:gdLst/>
          <a:ahLst/>
          <a:cxnLst/>
          <a:rect l="0" t="0" r="0" b="0"/>
          <a:pathLst>
            <a:path>
              <a:moveTo>
                <a:pt x="0" y="24409"/>
              </a:moveTo>
              <a:lnTo>
                <a:pt x="555939" y="244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987233" y="1267214"/>
        <a:ext cx="27796" cy="27796"/>
      </dsp:txXfrm>
    </dsp:sp>
    <dsp:sp modelId="{6ACD7245-285A-42A8-9645-CABCE945E33A}">
      <dsp:nvSpPr>
        <dsp:cNvPr id="0" name=""/>
        <dsp:cNvSpPr/>
      </dsp:nvSpPr>
      <dsp:spPr>
        <a:xfrm>
          <a:off x="2279101" y="784626"/>
          <a:ext cx="1889736" cy="992971"/>
        </a:xfrm>
        <a:prstGeom prst="roundRect">
          <a:avLst>
            <a:gd name="adj" fmla="val 10000"/>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solidFill>
                <a:schemeClr val="tx1"/>
              </a:solidFill>
            </a:rPr>
            <a:t>Assistant Headteacher: Whole School AG&amp;T Strategy</a:t>
          </a:r>
          <a:endParaRPr lang="en-GB" sz="1400" kern="1200"/>
        </a:p>
      </dsp:txBody>
      <dsp:txXfrm>
        <a:off x="2308184" y="813709"/>
        <a:ext cx="1831570" cy="934805"/>
      </dsp:txXfrm>
    </dsp:sp>
    <dsp:sp modelId="{468EB99C-6500-442E-B90A-27928B26EA3A}">
      <dsp:nvSpPr>
        <dsp:cNvPr id="0" name=""/>
        <dsp:cNvSpPr/>
      </dsp:nvSpPr>
      <dsp:spPr>
        <a:xfrm rot="18303767">
          <a:off x="3960901" y="856724"/>
          <a:ext cx="977315" cy="48819"/>
        </a:xfrm>
        <a:custGeom>
          <a:avLst/>
          <a:gdLst/>
          <a:ahLst/>
          <a:cxnLst/>
          <a:rect l="0" t="0" r="0" b="0"/>
          <a:pathLst>
            <a:path>
              <a:moveTo>
                <a:pt x="0" y="24409"/>
              </a:moveTo>
              <a:lnTo>
                <a:pt x="977315" y="244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425126" y="856701"/>
        <a:ext cx="48865" cy="48865"/>
      </dsp:txXfrm>
    </dsp:sp>
    <dsp:sp modelId="{DE0056C2-A7C7-4EB5-A831-EBAF1879EF04}">
      <dsp:nvSpPr>
        <dsp:cNvPr id="0" name=""/>
        <dsp:cNvSpPr/>
      </dsp:nvSpPr>
      <dsp:spPr>
        <a:xfrm>
          <a:off x="4730280" y="133694"/>
          <a:ext cx="1389849" cy="694924"/>
        </a:xfrm>
        <a:prstGeom prst="roundRect">
          <a:avLst>
            <a:gd name="adj" fmla="val 10000"/>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rPr>
            <a:t>TLR post-holder: AG&amp;T Coordinator</a:t>
          </a:r>
        </a:p>
      </dsp:txBody>
      <dsp:txXfrm>
        <a:off x="4750634" y="154048"/>
        <a:ext cx="1349141" cy="654216"/>
      </dsp:txXfrm>
    </dsp:sp>
    <dsp:sp modelId="{5C0C14DD-B495-4D3D-89A9-30775FC89C87}">
      <dsp:nvSpPr>
        <dsp:cNvPr id="0" name=""/>
        <dsp:cNvSpPr/>
      </dsp:nvSpPr>
      <dsp:spPr>
        <a:xfrm>
          <a:off x="4168838" y="1256702"/>
          <a:ext cx="555939" cy="48819"/>
        </a:xfrm>
        <a:custGeom>
          <a:avLst/>
          <a:gdLst/>
          <a:ahLst/>
          <a:cxnLst/>
          <a:rect l="0" t="0" r="0" b="0"/>
          <a:pathLst>
            <a:path>
              <a:moveTo>
                <a:pt x="0" y="24409"/>
              </a:moveTo>
              <a:lnTo>
                <a:pt x="555939" y="244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32909" y="1267214"/>
        <a:ext cx="27796" cy="27796"/>
      </dsp:txXfrm>
    </dsp:sp>
    <dsp:sp modelId="{D6622445-0406-43D7-AF2D-CC0FAF4DE8BD}">
      <dsp:nvSpPr>
        <dsp:cNvPr id="0" name=""/>
        <dsp:cNvSpPr/>
      </dsp:nvSpPr>
      <dsp:spPr>
        <a:xfrm>
          <a:off x="4724778" y="933650"/>
          <a:ext cx="1389849" cy="694924"/>
        </a:xfrm>
        <a:prstGeom prst="roundRect">
          <a:avLst>
            <a:gd name="adj" fmla="val 10000"/>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rPr>
            <a:t>Faculty AG&amp;T Coodinators</a:t>
          </a:r>
        </a:p>
      </dsp:txBody>
      <dsp:txXfrm>
        <a:off x="4745132" y="954004"/>
        <a:ext cx="1349141" cy="654216"/>
      </dsp:txXfrm>
    </dsp:sp>
    <dsp:sp modelId="{2D49FEE9-BCE1-4BB9-995D-363FFA41A077}">
      <dsp:nvSpPr>
        <dsp:cNvPr id="0" name=""/>
        <dsp:cNvSpPr/>
      </dsp:nvSpPr>
      <dsp:spPr>
        <a:xfrm rot="3320463">
          <a:off x="3955931" y="1662736"/>
          <a:ext cx="987254" cy="48819"/>
        </a:xfrm>
        <a:custGeom>
          <a:avLst/>
          <a:gdLst/>
          <a:ahLst/>
          <a:cxnLst/>
          <a:rect l="0" t="0" r="0" b="0"/>
          <a:pathLst>
            <a:path>
              <a:moveTo>
                <a:pt x="0" y="24409"/>
              </a:moveTo>
              <a:lnTo>
                <a:pt x="987254" y="24409"/>
              </a:lnTo>
            </a:path>
          </a:pathLst>
        </a:custGeom>
        <a:noFill/>
        <a:ln w="25400" cap="flat" cmpd="sng" algn="ctr">
          <a:solidFill>
            <a:srgbClr val="4774AB"/>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24878" y="1662465"/>
        <a:ext cx="49362" cy="49362"/>
      </dsp:txXfrm>
    </dsp:sp>
    <dsp:sp modelId="{8D15DF0D-0CD4-4B93-AE1B-1178C9643628}">
      <dsp:nvSpPr>
        <dsp:cNvPr id="0" name=""/>
        <dsp:cNvSpPr/>
      </dsp:nvSpPr>
      <dsp:spPr>
        <a:xfrm>
          <a:off x="4730280" y="1745718"/>
          <a:ext cx="1389849" cy="694924"/>
        </a:xfrm>
        <a:prstGeom prst="roundRect">
          <a:avLst>
            <a:gd name="adj" fmla="val 10000"/>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rPr>
            <a:t>AG&amp;T Mentors</a:t>
          </a:r>
        </a:p>
      </dsp:txBody>
      <dsp:txXfrm>
        <a:off x="4750634" y="1766072"/>
        <a:ext cx="1349141" cy="65421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F565-21F9-4089-A061-95EBC263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Fiona Philippou</cp:lastModifiedBy>
  <cp:revision>3</cp:revision>
  <cp:lastPrinted>2012-01-13T08:16:00Z</cp:lastPrinted>
  <dcterms:created xsi:type="dcterms:W3CDTF">2018-03-06T09:47:00Z</dcterms:created>
  <dcterms:modified xsi:type="dcterms:W3CDTF">2018-09-24T14:49:00Z</dcterms:modified>
</cp:coreProperties>
</file>